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9E2D" w14:textId="57B70BEE" w:rsidR="00493CAE" w:rsidRPr="0041440D" w:rsidRDefault="00493CAE" w:rsidP="00493CAE">
      <w:pPr>
        <w:spacing w:line="360" w:lineRule="auto"/>
        <w:jc w:val="center"/>
        <w:rPr>
          <w:rFonts w:ascii="宋体" w:hAnsi="宋体"/>
          <w:b/>
          <w:sz w:val="24"/>
        </w:rPr>
      </w:pPr>
      <w:r w:rsidRPr="0041440D">
        <w:rPr>
          <w:rFonts w:ascii="宋体" w:hAnsi="宋体"/>
          <w:b/>
          <w:sz w:val="24"/>
        </w:rPr>
        <w:t>证券代码</w:t>
      </w:r>
      <w:r w:rsidRPr="0041440D">
        <w:rPr>
          <w:rFonts w:ascii="宋体" w:hAnsi="宋体" w:hint="eastAsia"/>
          <w:b/>
          <w:sz w:val="24"/>
        </w:rPr>
        <w:t>：600467</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证券简称：</w:t>
      </w:r>
      <w:r w:rsidRPr="0041440D">
        <w:rPr>
          <w:rFonts w:ascii="宋体" w:hAnsi="宋体" w:hint="eastAsia"/>
          <w:b/>
          <w:sz w:val="24"/>
        </w:rPr>
        <w:t>好当家</w:t>
      </w:r>
      <w:r w:rsidRPr="0041440D">
        <w:rPr>
          <w:rFonts w:ascii="宋体" w:hAnsi="宋体"/>
          <w:b/>
          <w:sz w:val="24"/>
        </w:rPr>
        <w:t xml:space="preserve">　　</w:t>
      </w:r>
      <w:r w:rsidRPr="0041440D">
        <w:rPr>
          <w:rFonts w:ascii="宋体" w:hAnsi="宋体" w:hint="eastAsia"/>
          <w:b/>
          <w:sz w:val="24"/>
        </w:rPr>
        <w:t xml:space="preserve">     </w:t>
      </w:r>
      <w:r w:rsidRPr="0041440D">
        <w:rPr>
          <w:rFonts w:ascii="宋体" w:hAnsi="宋体"/>
          <w:b/>
          <w:sz w:val="24"/>
        </w:rPr>
        <w:t>公告编号：</w:t>
      </w:r>
      <w:r w:rsidRPr="00670563">
        <w:rPr>
          <w:rFonts w:ascii="宋体" w:hAnsi="宋体"/>
          <w:b/>
          <w:sz w:val="24"/>
        </w:rPr>
        <w:t>20</w:t>
      </w:r>
      <w:r w:rsidRPr="00C45A10">
        <w:rPr>
          <w:rFonts w:ascii="宋体" w:hAnsi="宋体" w:hint="eastAsia"/>
          <w:b/>
          <w:sz w:val="24"/>
        </w:rPr>
        <w:t>24-01</w:t>
      </w:r>
      <w:r w:rsidR="00777DA5">
        <w:rPr>
          <w:rFonts w:ascii="宋体" w:hAnsi="宋体" w:hint="eastAsia"/>
          <w:b/>
          <w:sz w:val="24"/>
        </w:rPr>
        <w:t>5</w:t>
      </w:r>
    </w:p>
    <w:p w14:paraId="3A66D547" w14:textId="77777777" w:rsidR="00493CAE" w:rsidRPr="00493CAE" w:rsidRDefault="00493CAE" w:rsidP="00493CAE">
      <w:pPr>
        <w:adjustRightInd w:val="0"/>
        <w:snapToGrid w:val="0"/>
        <w:spacing w:line="360" w:lineRule="auto"/>
        <w:rPr>
          <w:rFonts w:ascii="宋体" w:hAnsi="宋体"/>
          <w:b/>
          <w:sz w:val="30"/>
          <w:szCs w:val="30"/>
        </w:rPr>
      </w:pPr>
    </w:p>
    <w:p w14:paraId="1610CFB9" w14:textId="77777777" w:rsidR="00493CAE" w:rsidRPr="0041440D" w:rsidRDefault="00493CAE" w:rsidP="00493CAE">
      <w:pPr>
        <w:adjustRightInd w:val="0"/>
        <w:snapToGrid w:val="0"/>
        <w:spacing w:line="360" w:lineRule="auto"/>
        <w:jc w:val="center"/>
        <w:rPr>
          <w:rFonts w:ascii="宋体" w:hAnsi="宋体"/>
          <w:b/>
          <w:sz w:val="32"/>
          <w:szCs w:val="32"/>
        </w:rPr>
      </w:pPr>
      <w:r w:rsidRPr="0041440D">
        <w:rPr>
          <w:rFonts w:ascii="宋体" w:hAnsi="宋体"/>
          <w:b/>
          <w:sz w:val="32"/>
          <w:szCs w:val="32"/>
        </w:rPr>
        <w:t>山东好当家海洋发展股份有限公司</w:t>
      </w:r>
    </w:p>
    <w:p w14:paraId="1DFDB843" w14:textId="6D714716" w:rsidR="00493CAE" w:rsidRPr="0041440D" w:rsidRDefault="00493CAE" w:rsidP="00493CAE">
      <w:pPr>
        <w:adjustRightInd w:val="0"/>
        <w:snapToGrid w:val="0"/>
        <w:spacing w:line="360" w:lineRule="auto"/>
        <w:jc w:val="center"/>
        <w:rPr>
          <w:rFonts w:ascii="宋体" w:hAnsi="宋体"/>
          <w:b/>
          <w:sz w:val="32"/>
          <w:szCs w:val="32"/>
        </w:rPr>
      </w:pPr>
      <w:r>
        <w:rPr>
          <w:rFonts w:ascii="宋体" w:hAnsi="宋体" w:hint="eastAsia"/>
          <w:b/>
          <w:sz w:val="32"/>
          <w:szCs w:val="32"/>
        </w:rPr>
        <w:t>关于公司董事、</w:t>
      </w:r>
      <w:r w:rsidR="00A07F20">
        <w:rPr>
          <w:rFonts w:ascii="宋体" w:hAnsi="宋体" w:hint="eastAsia"/>
          <w:b/>
          <w:sz w:val="32"/>
          <w:szCs w:val="32"/>
        </w:rPr>
        <w:t>监事、</w:t>
      </w:r>
      <w:r>
        <w:rPr>
          <w:rFonts w:ascii="宋体" w:hAnsi="宋体" w:hint="eastAsia"/>
          <w:b/>
          <w:sz w:val="32"/>
          <w:szCs w:val="32"/>
        </w:rPr>
        <w:t>高级管理人员2024年薪酬的公告</w:t>
      </w:r>
    </w:p>
    <w:p w14:paraId="2992A3D4" w14:textId="77777777" w:rsidR="00493CAE" w:rsidRDefault="00493CAE" w:rsidP="00493CAE">
      <w:pPr>
        <w:spacing w:line="360" w:lineRule="auto"/>
        <w:jc w:val="center"/>
        <w:rPr>
          <w:rFonts w:ascii="Times New Roman" w:hAnsi="Times New Roman"/>
        </w:rPr>
      </w:pPr>
    </w:p>
    <w:p w14:paraId="79A3CC69" w14:textId="77777777" w:rsidR="00493CAE" w:rsidRDefault="00493CAE" w:rsidP="00493CAE">
      <w:pPr>
        <w:snapToGrid w:val="0"/>
        <w:spacing w:line="360" w:lineRule="auto"/>
        <w:ind w:firstLineChars="200" w:firstLine="482"/>
        <w:rPr>
          <w:rFonts w:ascii="仿宋_GB2312" w:eastAsia="仿宋_GB2312" w:hAnsi="宋体"/>
          <w:b/>
          <w:bCs/>
          <w:sz w:val="24"/>
        </w:rPr>
      </w:pPr>
      <w:r w:rsidRPr="00010B72">
        <w:rPr>
          <w:rFonts w:ascii="仿宋_GB2312" w:eastAsia="仿宋_GB2312" w:hAnsi="宋体" w:hint="eastAsia"/>
          <w:b/>
          <w:bCs/>
          <w:sz w:val="24"/>
        </w:rPr>
        <w:t>本公司监事会及全体监事保证本公告内容不存在任何虚假记载、误导性陈述或者重大遗漏，并对其内容的真实性、准确性和完整性承担个别及连带责任。</w:t>
      </w:r>
    </w:p>
    <w:p w14:paraId="767E20A0" w14:textId="77777777" w:rsidR="004D20A6" w:rsidRPr="00010B72" w:rsidRDefault="004D20A6" w:rsidP="00493CAE">
      <w:pPr>
        <w:snapToGrid w:val="0"/>
        <w:spacing w:line="360" w:lineRule="auto"/>
        <w:ind w:firstLineChars="200" w:firstLine="482"/>
        <w:rPr>
          <w:rFonts w:ascii="仿宋_GB2312" w:eastAsia="仿宋_GB2312" w:hAnsi="宋体" w:hint="eastAsia"/>
          <w:b/>
          <w:bCs/>
          <w:sz w:val="24"/>
        </w:rPr>
      </w:pPr>
    </w:p>
    <w:p w14:paraId="5456AE73" w14:textId="4E7D25B1" w:rsidR="005807ED" w:rsidRPr="005807ED" w:rsidRDefault="00947A64" w:rsidP="005807ED">
      <w:pPr>
        <w:pStyle w:val="Char"/>
        <w:spacing w:line="360" w:lineRule="auto"/>
        <w:contextualSpacing/>
        <w:rPr>
          <w:rFonts w:ascii="宋体" w:hAnsi="宋体"/>
          <w:sz w:val="24"/>
          <w:szCs w:val="24"/>
          <w:lang w:eastAsia="zh-CN"/>
        </w:rPr>
      </w:pPr>
      <w:r w:rsidRPr="00584414">
        <w:rPr>
          <w:rFonts w:ascii="宋体" w:hAnsi="宋体" w:hint="eastAsia"/>
          <w:sz w:val="24"/>
          <w:szCs w:val="24"/>
          <w:lang w:eastAsia="zh-CN"/>
        </w:rPr>
        <w:t xml:space="preserve">    </w:t>
      </w:r>
      <w:r w:rsidR="005807ED" w:rsidRPr="005807ED">
        <w:rPr>
          <w:rFonts w:ascii="宋体" w:hAnsi="宋体" w:hint="eastAsia"/>
          <w:sz w:val="24"/>
          <w:szCs w:val="24"/>
          <w:lang w:eastAsia="zh-CN"/>
        </w:rPr>
        <w:t>根据相关法律法规和《公司章程》等规定，结合目前经济环境、公司所处地区、行业和规模等实际情况，在充分体现短期和长期激励相结合，在保障股东利益、实现公司与管理层共同发展的前提下，制定了公司董事、监事及高级管理人员的薪酬方案，具体如下：</w:t>
      </w:r>
    </w:p>
    <w:p w14:paraId="102B57C6" w14:textId="77777777" w:rsidR="005807ED" w:rsidRPr="005807ED" w:rsidRDefault="005807ED" w:rsidP="005807ED">
      <w:pPr>
        <w:pStyle w:val="Char"/>
        <w:spacing w:line="360" w:lineRule="auto"/>
        <w:contextualSpacing/>
        <w:rPr>
          <w:rFonts w:ascii="宋体" w:hAnsi="宋体"/>
          <w:sz w:val="24"/>
          <w:szCs w:val="24"/>
          <w:lang w:eastAsia="zh-CN"/>
        </w:rPr>
      </w:pPr>
      <w:r w:rsidRPr="005807ED">
        <w:rPr>
          <w:rFonts w:ascii="宋体" w:hAnsi="宋体" w:hint="eastAsia"/>
          <w:sz w:val="24"/>
          <w:szCs w:val="24"/>
          <w:lang w:eastAsia="zh-CN"/>
        </w:rPr>
        <w:t>1、公司董事薪酬方案</w:t>
      </w:r>
    </w:p>
    <w:p w14:paraId="4F388CFA" w14:textId="7BED2121" w:rsidR="005807ED" w:rsidRPr="005807ED" w:rsidRDefault="005807ED" w:rsidP="005807ED">
      <w:pPr>
        <w:pStyle w:val="Char"/>
        <w:spacing w:line="360" w:lineRule="auto"/>
        <w:contextualSpacing/>
        <w:rPr>
          <w:rFonts w:ascii="宋体" w:hAnsi="宋体"/>
          <w:sz w:val="24"/>
          <w:szCs w:val="24"/>
          <w:lang w:eastAsia="zh-CN"/>
        </w:rPr>
      </w:pPr>
      <w:r w:rsidRPr="005807ED">
        <w:rPr>
          <w:rFonts w:ascii="宋体" w:hAnsi="宋体" w:hint="eastAsia"/>
          <w:sz w:val="24"/>
          <w:szCs w:val="24"/>
          <w:lang w:eastAsia="zh-CN"/>
        </w:rPr>
        <w:t>（1）非独立董事津贴方案：在公司担任高级管理职务的非独立董事，其薪酬标准按其所担任的职务执行，不另领取董事薪酬；未在公司担任高级管理职务的非独立董事，按其在公司担任的实际工作岗位领取薪酬；未在公司任职且无实际工作岗位的非独立董事不在公司领取薪酬。</w:t>
      </w:r>
    </w:p>
    <w:p w14:paraId="05E2AB04" w14:textId="09E060EE" w:rsidR="005807ED" w:rsidRDefault="005807ED" w:rsidP="005807ED">
      <w:pPr>
        <w:pStyle w:val="Char"/>
        <w:spacing w:line="360" w:lineRule="auto"/>
        <w:contextualSpacing/>
        <w:rPr>
          <w:rFonts w:ascii="宋体" w:hAnsi="宋体"/>
          <w:sz w:val="24"/>
          <w:szCs w:val="24"/>
          <w:lang w:eastAsia="zh-CN"/>
        </w:rPr>
      </w:pPr>
      <w:r w:rsidRPr="005807ED">
        <w:rPr>
          <w:rFonts w:ascii="宋体" w:hAnsi="宋体" w:hint="eastAsia"/>
          <w:sz w:val="24"/>
          <w:szCs w:val="24"/>
          <w:lang w:eastAsia="zh-CN"/>
        </w:rPr>
        <w:t xml:space="preserve">（2）独立董事津贴方案：公司聘请的独立董事津贴为 </w:t>
      </w:r>
      <w:r>
        <w:rPr>
          <w:rFonts w:ascii="宋体" w:hAnsi="宋体" w:hint="eastAsia"/>
          <w:sz w:val="24"/>
          <w:szCs w:val="24"/>
          <w:lang w:eastAsia="zh-CN"/>
        </w:rPr>
        <w:t>5</w:t>
      </w:r>
      <w:r w:rsidRPr="005807ED">
        <w:rPr>
          <w:rFonts w:ascii="宋体" w:hAnsi="宋体" w:hint="eastAsia"/>
          <w:sz w:val="24"/>
          <w:szCs w:val="24"/>
          <w:lang w:eastAsia="zh-CN"/>
        </w:rPr>
        <w:t>万元/年（含税），发放方式为每年发放一次。</w:t>
      </w:r>
    </w:p>
    <w:p w14:paraId="73CA64DA" w14:textId="3617738A" w:rsidR="00493CAE" w:rsidRPr="00493CAE" w:rsidRDefault="00493CAE" w:rsidP="00493CAE">
      <w:pPr>
        <w:pStyle w:val="Char"/>
        <w:spacing w:line="360" w:lineRule="auto"/>
        <w:contextualSpacing/>
        <w:rPr>
          <w:rFonts w:ascii="宋体" w:hAnsi="宋体"/>
          <w:sz w:val="24"/>
          <w:szCs w:val="24"/>
          <w:lang w:eastAsia="zh-CN"/>
        </w:rPr>
      </w:pPr>
      <w:r>
        <w:rPr>
          <w:rFonts w:ascii="宋体" w:hAnsi="宋体" w:hint="eastAsia"/>
          <w:sz w:val="24"/>
          <w:szCs w:val="24"/>
          <w:lang w:eastAsia="zh-CN"/>
        </w:rPr>
        <w:t>2、</w:t>
      </w:r>
      <w:r w:rsidRPr="00493CAE">
        <w:rPr>
          <w:rFonts w:ascii="宋体" w:hAnsi="宋体" w:hint="eastAsia"/>
          <w:sz w:val="24"/>
          <w:szCs w:val="24"/>
          <w:lang w:eastAsia="zh-CN"/>
        </w:rPr>
        <w:t>监事薪酬方案</w:t>
      </w:r>
    </w:p>
    <w:p w14:paraId="368BEF37" w14:textId="0AE1AB93" w:rsidR="00493CAE" w:rsidRPr="00493CAE" w:rsidRDefault="00493CAE" w:rsidP="00493CAE">
      <w:pPr>
        <w:pStyle w:val="Char"/>
        <w:spacing w:line="360" w:lineRule="auto"/>
        <w:contextualSpacing/>
        <w:rPr>
          <w:rFonts w:ascii="宋体" w:hAnsi="宋体"/>
          <w:sz w:val="24"/>
          <w:szCs w:val="24"/>
          <w:lang w:eastAsia="zh-CN"/>
        </w:rPr>
      </w:pPr>
      <w:r>
        <w:rPr>
          <w:rFonts w:ascii="宋体" w:hAnsi="宋体" w:hint="eastAsia"/>
          <w:sz w:val="24"/>
          <w:szCs w:val="24"/>
          <w:lang w:eastAsia="zh-CN"/>
        </w:rPr>
        <w:t>（1）</w:t>
      </w:r>
      <w:r w:rsidRPr="00493CAE">
        <w:rPr>
          <w:rFonts w:ascii="宋体" w:hAnsi="宋体" w:hint="eastAsia"/>
          <w:sz w:val="24"/>
          <w:szCs w:val="24"/>
          <w:lang w:eastAsia="zh-CN"/>
        </w:rPr>
        <w:t>在公司任职的监事根据其在公司担任的具体职务及个人绩效考核结果，</w:t>
      </w:r>
    </w:p>
    <w:p w14:paraId="3164D9BD" w14:textId="03E8403A" w:rsidR="00493CAE" w:rsidRPr="00493CAE" w:rsidRDefault="00493CAE" w:rsidP="00493CAE">
      <w:pPr>
        <w:pStyle w:val="Char"/>
        <w:spacing w:line="360" w:lineRule="auto"/>
        <w:contextualSpacing/>
        <w:rPr>
          <w:rFonts w:ascii="宋体" w:hAnsi="宋体"/>
          <w:sz w:val="24"/>
          <w:szCs w:val="24"/>
          <w:lang w:eastAsia="zh-CN"/>
        </w:rPr>
      </w:pPr>
      <w:r w:rsidRPr="00493CAE">
        <w:rPr>
          <w:rFonts w:ascii="宋体" w:hAnsi="宋体" w:hint="eastAsia"/>
          <w:sz w:val="24"/>
          <w:szCs w:val="24"/>
          <w:lang w:eastAsia="zh-CN"/>
        </w:rPr>
        <w:t>按照薪酬办法相应的标准执行</w:t>
      </w:r>
      <w:r w:rsidR="000A0053">
        <w:rPr>
          <w:rFonts w:ascii="宋体" w:hAnsi="宋体" w:hint="eastAsia"/>
          <w:sz w:val="24"/>
          <w:szCs w:val="24"/>
          <w:lang w:eastAsia="zh-CN"/>
        </w:rPr>
        <w:t>。</w:t>
      </w:r>
    </w:p>
    <w:p w14:paraId="04DC9678" w14:textId="3542C796" w:rsidR="00493CAE" w:rsidRPr="005807ED" w:rsidRDefault="00493CAE" w:rsidP="00493CAE">
      <w:pPr>
        <w:pStyle w:val="Char"/>
        <w:spacing w:line="360" w:lineRule="auto"/>
        <w:contextualSpacing/>
        <w:rPr>
          <w:rFonts w:ascii="宋体" w:hAnsi="宋体"/>
          <w:sz w:val="24"/>
          <w:szCs w:val="24"/>
          <w:lang w:eastAsia="zh-CN"/>
        </w:rPr>
      </w:pPr>
      <w:r>
        <w:rPr>
          <w:rFonts w:ascii="宋体" w:hAnsi="宋体" w:hint="eastAsia"/>
          <w:sz w:val="24"/>
          <w:szCs w:val="24"/>
          <w:lang w:eastAsia="zh-CN"/>
        </w:rPr>
        <w:t>（2）</w:t>
      </w:r>
      <w:r w:rsidRPr="00493CAE">
        <w:rPr>
          <w:rFonts w:ascii="宋体" w:hAnsi="宋体" w:hint="eastAsia"/>
          <w:sz w:val="24"/>
          <w:szCs w:val="24"/>
          <w:lang w:eastAsia="zh-CN"/>
        </w:rPr>
        <w:t>未在公司任职的监事不在公司领取监事津贴。</w:t>
      </w:r>
    </w:p>
    <w:p w14:paraId="7C4A263A" w14:textId="4A1CCFF1" w:rsidR="005807ED" w:rsidRDefault="00493CAE" w:rsidP="005807ED">
      <w:pPr>
        <w:pStyle w:val="Char"/>
        <w:spacing w:line="360" w:lineRule="auto"/>
        <w:contextualSpacing/>
        <w:rPr>
          <w:rFonts w:ascii="宋体" w:hAnsi="宋体"/>
          <w:sz w:val="24"/>
          <w:szCs w:val="24"/>
          <w:lang w:eastAsia="zh-CN"/>
        </w:rPr>
      </w:pPr>
      <w:r>
        <w:rPr>
          <w:rFonts w:ascii="宋体" w:hAnsi="宋体" w:hint="eastAsia"/>
          <w:sz w:val="24"/>
          <w:szCs w:val="24"/>
          <w:lang w:eastAsia="zh-CN"/>
        </w:rPr>
        <w:t>3</w:t>
      </w:r>
      <w:r w:rsidR="005807ED" w:rsidRPr="005807ED">
        <w:rPr>
          <w:rFonts w:ascii="宋体" w:hAnsi="宋体" w:hint="eastAsia"/>
          <w:sz w:val="24"/>
          <w:szCs w:val="24"/>
          <w:lang w:eastAsia="zh-CN"/>
        </w:rPr>
        <w:t>、公司高级管理人员薪酬方案</w:t>
      </w:r>
    </w:p>
    <w:p w14:paraId="439488EE" w14:textId="75709D29" w:rsidR="005807ED" w:rsidRPr="005807ED" w:rsidRDefault="005807ED" w:rsidP="00C61549">
      <w:pPr>
        <w:pStyle w:val="Char"/>
        <w:spacing w:line="360" w:lineRule="auto"/>
        <w:ind w:firstLineChars="200" w:firstLine="480"/>
        <w:contextualSpacing/>
        <w:rPr>
          <w:rFonts w:ascii="宋体" w:hAnsi="宋体"/>
          <w:sz w:val="24"/>
          <w:szCs w:val="24"/>
          <w:lang w:eastAsia="zh-CN"/>
        </w:rPr>
      </w:pPr>
      <w:r w:rsidRPr="005807ED">
        <w:rPr>
          <w:rFonts w:ascii="宋体" w:hAnsi="宋体" w:hint="eastAsia"/>
          <w:sz w:val="24"/>
          <w:szCs w:val="24"/>
          <w:lang w:eastAsia="zh-CN"/>
        </w:rPr>
        <w:t>公司高级管理人员根据其在公司担任具体管理职务按公司相关薪酬规定领取薪酬。</w:t>
      </w:r>
    </w:p>
    <w:p w14:paraId="3455EBA1" w14:textId="2857209D" w:rsidR="005807ED" w:rsidRPr="005807ED" w:rsidRDefault="00493CAE" w:rsidP="005807ED">
      <w:pPr>
        <w:pStyle w:val="Char"/>
        <w:spacing w:line="360" w:lineRule="auto"/>
        <w:contextualSpacing/>
        <w:rPr>
          <w:rFonts w:ascii="宋体" w:hAnsi="宋体"/>
          <w:sz w:val="24"/>
          <w:szCs w:val="24"/>
          <w:lang w:eastAsia="zh-CN"/>
        </w:rPr>
      </w:pPr>
      <w:r>
        <w:rPr>
          <w:rFonts w:ascii="宋体" w:hAnsi="宋体" w:hint="eastAsia"/>
          <w:sz w:val="24"/>
          <w:szCs w:val="24"/>
          <w:lang w:eastAsia="zh-CN"/>
        </w:rPr>
        <w:t>4</w:t>
      </w:r>
      <w:r w:rsidR="005807ED">
        <w:rPr>
          <w:rFonts w:ascii="宋体" w:hAnsi="宋体" w:hint="eastAsia"/>
          <w:sz w:val="24"/>
          <w:szCs w:val="24"/>
          <w:lang w:eastAsia="zh-CN"/>
        </w:rPr>
        <w:t>、</w:t>
      </w:r>
      <w:r w:rsidR="005807ED" w:rsidRPr="005807ED">
        <w:rPr>
          <w:rFonts w:ascii="宋体" w:hAnsi="宋体" w:hint="eastAsia"/>
          <w:sz w:val="24"/>
          <w:szCs w:val="24"/>
          <w:lang w:eastAsia="zh-CN"/>
        </w:rPr>
        <w:t>其他说明</w:t>
      </w:r>
    </w:p>
    <w:p w14:paraId="5F3D4445" w14:textId="62A1AFBF" w:rsidR="005807ED" w:rsidRPr="005807ED" w:rsidRDefault="005807ED" w:rsidP="005807ED">
      <w:pPr>
        <w:pStyle w:val="Char"/>
        <w:spacing w:line="360" w:lineRule="auto"/>
        <w:contextualSpacing/>
        <w:rPr>
          <w:rFonts w:ascii="宋体" w:hAnsi="宋体"/>
          <w:sz w:val="24"/>
          <w:szCs w:val="24"/>
          <w:lang w:eastAsia="zh-CN"/>
        </w:rPr>
      </w:pPr>
      <w:r>
        <w:rPr>
          <w:rFonts w:ascii="宋体" w:hAnsi="宋体" w:hint="eastAsia"/>
          <w:sz w:val="24"/>
          <w:szCs w:val="24"/>
          <w:lang w:eastAsia="zh-CN"/>
        </w:rPr>
        <w:t>（1）</w:t>
      </w:r>
      <w:r w:rsidRPr="005807ED">
        <w:rPr>
          <w:rFonts w:ascii="宋体" w:hAnsi="宋体" w:hint="eastAsia"/>
          <w:sz w:val="24"/>
          <w:szCs w:val="24"/>
          <w:lang w:eastAsia="zh-CN"/>
        </w:rPr>
        <w:t>上述薪酬均为税前金额，涉及的个人所得税由公司统一代扣代缴</w:t>
      </w:r>
      <w:r w:rsidR="000A0053">
        <w:rPr>
          <w:rFonts w:ascii="宋体" w:hAnsi="宋体" w:hint="eastAsia"/>
          <w:sz w:val="24"/>
          <w:szCs w:val="24"/>
          <w:lang w:eastAsia="zh-CN"/>
        </w:rPr>
        <w:t>。</w:t>
      </w:r>
    </w:p>
    <w:p w14:paraId="3143C1CF" w14:textId="5FE486E8" w:rsidR="00947A64" w:rsidRDefault="005807ED" w:rsidP="005807ED">
      <w:pPr>
        <w:pStyle w:val="Char"/>
        <w:spacing w:line="360" w:lineRule="auto"/>
        <w:contextualSpacing/>
        <w:rPr>
          <w:rFonts w:ascii="宋体" w:hAnsi="宋体"/>
          <w:sz w:val="24"/>
          <w:szCs w:val="24"/>
          <w:lang w:eastAsia="zh-CN"/>
        </w:rPr>
      </w:pPr>
      <w:r>
        <w:rPr>
          <w:rFonts w:ascii="宋体" w:hAnsi="宋体" w:hint="eastAsia"/>
          <w:sz w:val="24"/>
          <w:szCs w:val="24"/>
          <w:lang w:eastAsia="zh-CN"/>
        </w:rPr>
        <w:lastRenderedPageBreak/>
        <w:t>（2）</w:t>
      </w:r>
      <w:r w:rsidRPr="005807ED">
        <w:rPr>
          <w:rFonts w:ascii="宋体" w:hAnsi="宋体" w:hint="eastAsia"/>
          <w:sz w:val="24"/>
          <w:szCs w:val="24"/>
          <w:lang w:eastAsia="zh-CN"/>
        </w:rPr>
        <w:t>公司董事</w:t>
      </w:r>
      <w:r>
        <w:rPr>
          <w:rFonts w:ascii="宋体" w:hAnsi="宋体" w:hint="eastAsia"/>
          <w:sz w:val="24"/>
          <w:szCs w:val="24"/>
          <w:lang w:eastAsia="zh-CN"/>
        </w:rPr>
        <w:t>、</w:t>
      </w:r>
      <w:r w:rsidRPr="005807ED">
        <w:rPr>
          <w:rFonts w:ascii="宋体" w:hAnsi="宋体" w:hint="eastAsia"/>
          <w:sz w:val="24"/>
          <w:szCs w:val="24"/>
          <w:lang w:eastAsia="zh-CN"/>
        </w:rPr>
        <w:t>高级管理人员因换届、改选、任期内辞职等原因离任的，按其实际任期计算并予以发放</w:t>
      </w:r>
      <w:r w:rsidR="00DC5E96">
        <w:rPr>
          <w:rFonts w:ascii="宋体" w:hAnsi="宋体" w:hint="eastAsia"/>
          <w:sz w:val="24"/>
          <w:szCs w:val="24"/>
          <w:lang w:eastAsia="zh-CN"/>
        </w:rPr>
        <w:t>。</w:t>
      </w:r>
    </w:p>
    <w:p w14:paraId="5CC38449" w14:textId="77777777" w:rsidR="006A53A5" w:rsidRPr="005807ED" w:rsidRDefault="006A53A5" w:rsidP="006A53A5">
      <w:pPr>
        <w:pStyle w:val="Char"/>
        <w:spacing w:line="360" w:lineRule="auto"/>
        <w:ind w:firstLineChars="200" w:firstLine="480"/>
        <w:contextualSpacing/>
        <w:rPr>
          <w:rFonts w:ascii="宋体" w:hAnsi="宋体"/>
          <w:sz w:val="28"/>
          <w:szCs w:val="28"/>
          <w:lang w:eastAsia="zh-CN"/>
        </w:rPr>
      </w:pPr>
      <w:r>
        <w:rPr>
          <w:rFonts w:ascii="宋体" w:hAnsi="宋体" w:hint="eastAsia"/>
          <w:sz w:val="24"/>
          <w:szCs w:val="24"/>
          <w:lang w:eastAsia="zh-CN"/>
        </w:rPr>
        <w:t>上述议案经公司董事会</w:t>
      </w:r>
      <w:r w:rsidRPr="002A2D37">
        <w:rPr>
          <w:rFonts w:ascii="宋体" w:hAnsi="宋体" w:hint="eastAsia"/>
          <w:sz w:val="24"/>
          <w:szCs w:val="24"/>
          <w:lang w:eastAsia="zh-CN"/>
        </w:rPr>
        <w:t>薪酬与考核委员</w:t>
      </w:r>
      <w:r>
        <w:rPr>
          <w:rFonts w:ascii="宋体" w:hAnsi="宋体" w:hint="eastAsia"/>
          <w:sz w:val="24"/>
          <w:szCs w:val="24"/>
          <w:lang w:eastAsia="zh-CN"/>
        </w:rPr>
        <w:t>会审议通过后，同意提交公司董事会审议。涉及董事薪酬，基于谨慎性原则，董事毕见超、孔云飞进行表决，其他董事不进行表决，直接提交股东大会审议。</w:t>
      </w:r>
    </w:p>
    <w:p w14:paraId="5DD79963" w14:textId="0A6F6F4B" w:rsidR="00AE55E6" w:rsidRPr="006A53A5" w:rsidRDefault="006A53A5" w:rsidP="00AE55E6">
      <w:pPr>
        <w:pStyle w:val="Char"/>
        <w:spacing w:line="360" w:lineRule="auto"/>
        <w:ind w:firstLineChars="200" w:firstLine="480"/>
        <w:contextualSpacing/>
        <w:rPr>
          <w:rFonts w:ascii="宋体" w:hAnsi="宋体"/>
          <w:sz w:val="24"/>
          <w:szCs w:val="24"/>
          <w:lang w:eastAsia="zh-CN"/>
        </w:rPr>
      </w:pPr>
      <w:r w:rsidRPr="006A53A5">
        <w:rPr>
          <w:rFonts w:ascii="宋体" w:hAnsi="宋体" w:hint="eastAsia"/>
          <w:sz w:val="24"/>
          <w:szCs w:val="24"/>
          <w:lang w:eastAsia="zh-CN"/>
        </w:rPr>
        <w:t>特此公告。</w:t>
      </w:r>
    </w:p>
    <w:p w14:paraId="569418A1" w14:textId="33244C73" w:rsidR="00780CDB" w:rsidRPr="00AE55E6" w:rsidRDefault="00780CDB" w:rsidP="005807ED">
      <w:pPr>
        <w:pStyle w:val="Char"/>
        <w:spacing w:line="360" w:lineRule="auto"/>
        <w:ind w:firstLineChars="200" w:firstLine="480"/>
        <w:contextualSpacing/>
        <w:rPr>
          <w:rFonts w:ascii="宋体" w:hAnsi="宋体"/>
          <w:sz w:val="24"/>
          <w:szCs w:val="24"/>
          <w:lang w:eastAsia="zh-CN"/>
        </w:rPr>
      </w:pPr>
    </w:p>
    <w:p w14:paraId="2FA84F66" w14:textId="77777777" w:rsidR="00780CDB" w:rsidRPr="00AE55E6" w:rsidRDefault="00780CDB" w:rsidP="005807ED">
      <w:pPr>
        <w:pStyle w:val="Char"/>
        <w:spacing w:line="360" w:lineRule="auto"/>
        <w:ind w:firstLineChars="200" w:firstLine="480"/>
        <w:contextualSpacing/>
        <w:rPr>
          <w:rFonts w:ascii="宋体" w:hAnsi="宋体"/>
          <w:sz w:val="24"/>
          <w:szCs w:val="24"/>
          <w:lang w:eastAsia="zh-CN"/>
        </w:rPr>
      </w:pPr>
    </w:p>
    <w:p w14:paraId="40739DC9" w14:textId="77777777" w:rsidR="00780CDB" w:rsidRPr="005807ED" w:rsidRDefault="00780CDB" w:rsidP="005807ED">
      <w:pPr>
        <w:pStyle w:val="Char"/>
        <w:spacing w:line="360" w:lineRule="auto"/>
        <w:ind w:firstLineChars="200" w:firstLine="560"/>
        <w:contextualSpacing/>
        <w:rPr>
          <w:rFonts w:ascii="宋体" w:hAnsi="宋体"/>
          <w:sz w:val="28"/>
          <w:szCs w:val="28"/>
          <w:lang w:eastAsia="zh-CN"/>
        </w:rPr>
      </w:pPr>
    </w:p>
    <w:p w14:paraId="329D9008" w14:textId="2E78FF8A" w:rsidR="00947A64" w:rsidRDefault="00947A64" w:rsidP="005807ED">
      <w:pPr>
        <w:spacing w:line="360" w:lineRule="auto"/>
        <w:ind w:firstLine="480"/>
        <w:contextualSpacing/>
        <w:jc w:val="right"/>
        <w:rPr>
          <w:rFonts w:ascii="宋体" w:hAnsi="宋体"/>
          <w:sz w:val="24"/>
          <w:szCs w:val="24"/>
        </w:rPr>
      </w:pPr>
      <w:r>
        <w:rPr>
          <w:rFonts w:ascii="宋体" w:hAnsi="宋体" w:hint="eastAsia"/>
          <w:sz w:val="24"/>
          <w:szCs w:val="24"/>
        </w:rPr>
        <w:t>山东好当家海洋发展股份有限公司</w:t>
      </w:r>
      <w:r w:rsidR="00780CDB">
        <w:rPr>
          <w:rFonts w:ascii="宋体" w:hAnsi="宋体" w:hint="eastAsia"/>
          <w:sz w:val="24"/>
          <w:szCs w:val="24"/>
        </w:rPr>
        <w:t>董事会</w:t>
      </w:r>
    </w:p>
    <w:p w14:paraId="61AB5673" w14:textId="65340114" w:rsidR="00947A64" w:rsidRPr="00D41CDC" w:rsidRDefault="00947A64" w:rsidP="005807ED">
      <w:pPr>
        <w:spacing w:line="360" w:lineRule="auto"/>
        <w:ind w:firstLine="480"/>
        <w:contextualSpacing/>
        <w:jc w:val="right"/>
        <w:rPr>
          <w:rFonts w:ascii="宋体" w:hAnsi="宋体"/>
          <w:sz w:val="24"/>
          <w:szCs w:val="24"/>
        </w:rPr>
      </w:pPr>
      <w:r>
        <w:rPr>
          <w:rFonts w:ascii="宋体" w:hAnsi="宋体" w:hint="eastAsia"/>
          <w:sz w:val="24"/>
          <w:szCs w:val="24"/>
        </w:rPr>
        <w:t>2</w:t>
      </w:r>
      <w:r>
        <w:rPr>
          <w:rFonts w:ascii="宋体" w:hAnsi="宋体"/>
          <w:sz w:val="24"/>
          <w:szCs w:val="24"/>
        </w:rPr>
        <w:t>02</w:t>
      </w:r>
      <w:r>
        <w:rPr>
          <w:rFonts w:ascii="宋体" w:hAnsi="宋体" w:hint="eastAsia"/>
          <w:sz w:val="24"/>
          <w:szCs w:val="24"/>
        </w:rPr>
        <w:t>4年4月2</w:t>
      </w:r>
      <w:r w:rsidR="00221F98">
        <w:rPr>
          <w:rFonts w:ascii="宋体" w:hAnsi="宋体" w:hint="eastAsia"/>
          <w:sz w:val="24"/>
          <w:szCs w:val="24"/>
        </w:rPr>
        <w:t>5</w:t>
      </w:r>
      <w:r>
        <w:rPr>
          <w:rFonts w:ascii="宋体" w:hAnsi="宋体" w:hint="eastAsia"/>
          <w:sz w:val="24"/>
          <w:szCs w:val="24"/>
        </w:rPr>
        <w:t>日</w:t>
      </w:r>
    </w:p>
    <w:p w14:paraId="20D77E6B" w14:textId="77777777" w:rsidR="000014BD" w:rsidRDefault="000014BD"/>
    <w:sectPr w:rsidR="000014BD" w:rsidSect="002242B0">
      <w:footerReference w:type="default" r:id="rId6"/>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EED0" w14:textId="77777777" w:rsidR="002242B0" w:rsidRDefault="002242B0">
      <w:r>
        <w:separator/>
      </w:r>
    </w:p>
  </w:endnote>
  <w:endnote w:type="continuationSeparator" w:id="0">
    <w:p w14:paraId="468BE7D0" w14:textId="77777777" w:rsidR="002242B0" w:rsidRDefault="0022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67ED" w14:textId="77777777" w:rsidR="00B30FAC" w:rsidRDefault="00000000">
    <w:pPr>
      <w:pStyle w:val="a3"/>
      <w:jc w:val="right"/>
    </w:pPr>
    <w:r>
      <w:fldChar w:fldCharType="begin"/>
    </w:r>
    <w:r>
      <w:instrText xml:space="preserve"> PAGE   \* MERGEFORMAT </w:instrText>
    </w:r>
    <w:r>
      <w:fldChar w:fldCharType="separate"/>
    </w:r>
    <w:r w:rsidRPr="00144D96">
      <w:rPr>
        <w:noProof/>
        <w:lang w:val="zh-CN"/>
      </w:rPr>
      <w:t>1</w:t>
    </w:r>
    <w:r>
      <w:fldChar w:fldCharType="end"/>
    </w:r>
  </w:p>
  <w:p w14:paraId="473FA306" w14:textId="77777777" w:rsidR="00B30FAC" w:rsidRDefault="00B30F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2C1C" w14:textId="77777777" w:rsidR="002242B0" w:rsidRDefault="002242B0">
      <w:r>
        <w:separator/>
      </w:r>
    </w:p>
  </w:footnote>
  <w:footnote w:type="continuationSeparator" w:id="0">
    <w:p w14:paraId="6FB11F41" w14:textId="77777777" w:rsidR="002242B0" w:rsidRDefault="00224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1DD4"/>
    <w:rsid w:val="000014BD"/>
    <w:rsid w:val="000100EA"/>
    <w:rsid w:val="00010B72"/>
    <w:rsid w:val="00015422"/>
    <w:rsid w:val="00016035"/>
    <w:rsid w:val="00017FA6"/>
    <w:rsid w:val="00041DA2"/>
    <w:rsid w:val="00044BB1"/>
    <w:rsid w:val="000560FC"/>
    <w:rsid w:val="00056DD3"/>
    <w:rsid w:val="00057612"/>
    <w:rsid w:val="000749CE"/>
    <w:rsid w:val="00075564"/>
    <w:rsid w:val="000805E9"/>
    <w:rsid w:val="00085FA8"/>
    <w:rsid w:val="00097120"/>
    <w:rsid w:val="00097AA1"/>
    <w:rsid w:val="000A0053"/>
    <w:rsid w:val="000A289D"/>
    <w:rsid w:val="000A2FF5"/>
    <w:rsid w:val="000A7ACD"/>
    <w:rsid w:val="000B007A"/>
    <w:rsid w:val="000B69A7"/>
    <w:rsid w:val="000B70BB"/>
    <w:rsid w:val="000B7BCB"/>
    <w:rsid w:val="000C4006"/>
    <w:rsid w:val="000C4284"/>
    <w:rsid w:val="000C502D"/>
    <w:rsid w:val="000C5249"/>
    <w:rsid w:val="000C532A"/>
    <w:rsid w:val="000C538D"/>
    <w:rsid w:val="000D28CA"/>
    <w:rsid w:val="000D2C48"/>
    <w:rsid w:val="000D51C3"/>
    <w:rsid w:val="000D593D"/>
    <w:rsid w:val="000D77F5"/>
    <w:rsid w:val="000E0BB5"/>
    <w:rsid w:val="000E602D"/>
    <w:rsid w:val="000E6377"/>
    <w:rsid w:val="000F38B7"/>
    <w:rsid w:val="000F6CE2"/>
    <w:rsid w:val="00100098"/>
    <w:rsid w:val="00100145"/>
    <w:rsid w:val="00122A58"/>
    <w:rsid w:val="001239F0"/>
    <w:rsid w:val="00127059"/>
    <w:rsid w:val="00131AC0"/>
    <w:rsid w:val="00136525"/>
    <w:rsid w:val="00137A64"/>
    <w:rsid w:val="0014136D"/>
    <w:rsid w:val="0014401C"/>
    <w:rsid w:val="00172A19"/>
    <w:rsid w:val="00183243"/>
    <w:rsid w:val="00185A99"/>
    <w:rsid w:val="00191DD4"/>
    <w:rsid w:val="00194AC5"/>
    <w:rsid w:val="001B0B96"/>
    <w:rsid w:val="001B6A02"/>
    <w:rsid w:val="001D1A55"/>
    <w:rsid w:val="001D31E9"/>
    <w:rsid w:val="001D3F8A"/>
    <w:rsid w:val="001E2268"/>
    <w:rsid w:val="001E7714"/>
    <w:rsid w:val="001F0C19"/>
    <w:rsid w:val="001F2465"/>
    <w:rsid w:val="00207EEB"/>
    <w:rsid w:val="0021467A"/>
    <w:rsid w:val="00221F98"/>
    <w:rsid w:val="002242B0"/>
    <w:rsid w:val="00226352"/>
    <w:rsid w:val="00233104"/>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E205F"/>
    <w:rsid w:val="002E78C0"/>
    <w:rsid w:val="002F0463"/>
    <w:rsid w:val="002F0D06"/>
    <w:rsid w:val="002F4D7B"/>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3611"/>
    <w:rsid w:val="00375D70"/>
    <w:rsid w:val="00390AEB"/>
    <w:rsid w:val="0039104F"/>
    <w:rsid w:val="00396557"/>
    <w:rsid w:val="00396657"/>
    <w:rsid w:val="003A7A70"/>
    <w:rsid w:val="003B0F5A"/>
    <w:rsid w:val="003B2775"/>
    <w:rsid w:val="003B6700"/>
    <w:rsid w:val="003D35BF"/>
    <w:rsid w:val="003D3934"/>
    <w:rsid w:val="003D42F0"/>
    <w:rsid w:val="003E214C"/>
    <w:rsid w:val="003E74B5"/>
    <w:rsid w:val="003E7ADC"/>
    <w:rsid w:val="003F7136"/>
    <w:rsid w:val="004048BD"/>
    <w:rsid w:val="00406EC6"/>
    <w:rsid w:val="00407F6F"/>
    <w:rsid w:val="00412CF9"/>
    <w:rsid w:val="0042710E"/>
    <w:rsid w:val="004272B9"/>
    <w:rsid w:val="0043257B"/>
    <w:rsid w:val="0043440A"/>
    <w:rsid w:val="00453828"/>
    <w:rsid w:val="00455506"/>
    <w:rsid w:val="004565A0"/>
    <w:rsid w:val="00463589"/>
    <w:rsid w:val="00464AA5"/>
    <w:rsid w:val="00475598"/>
    <w:rsid w:val="00480A24"/>
    <w:rsid w:val="00484BFE"/>
    <w:rsid w:val="00486A3B"/>
    <w:rsid w:val="00493051"/>
    <w:rsid w:val="00493CAE"/>
    <w:rsid w:val="00495C97"/>
    <w:rsid w:val="004A47B2"/>
    <w:rsid w:val="004A554D"/>
    <w:rsid w:val="004B071B"/>
    <w:rsid w:val="004B367A"/>
    <w:rsid w:val="004B65C5"/>
    <w:rsid w:val="004C06B3"/>
    <w:rsid w:val="004C1402"/>
    <w:rsid w:val="004D20A6"/>
    <w:rsid w:val="004D2610"/>
    <w:rsid w:val="004D5E43"/>
    <w:rsid w:val="004E34D1"/>
    <w:rsid w:val="004E57A6"/>
    <w:rsid w:val="004E6001"/>
    <w:rsid w:val="00500790"/>
    <w:rsid w:val="00505568"/>
    <w:rsid w:val="00511165"/>
    <w:rsid w:val="005236D1"/>
    <w:rsid w:val="00530CD5"/>
    <w:rsid w:val="00534D90"/>
    <w:rsid w:val="00565ADF"/>
    <w:rsid w:val="00570525"/>
    <w:rsid w:val="00570AD8"/>
    <w:rsid w:val="00570DAD"/>
    <w:rsid w:val="005807ED"/>
    <w:rsid w:val="005A54D8"/>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549C"/>
    <w:rsid w:val="0066640A"/>
    <w:rsid w:val="0068476D"/>
    <w:rsid w:val="00685268"/>
    <w:rsid w:val="0068693B"/>
    <w:rsid w:val="00690173"/>
    <w:rsid w:val="006A29FF"/>
    <w:rsid w:val="006A4213"/>
    <w:rsid w:val="006A53A5"/>
    <w:rsid w:val="006A612F"/>
    <w:rsid w:val="006A62BE"/>
    <w:rsid w:val="006A6F47"/>
    <w:rsid w:val="006B4DC6"/>
    <w:rsid w:val="006C0001"/>
    <w:rsid w:val="006D72E0"/>
    <w:rsid w:val="006E105C"/>
    <w:rsid w:val="006E148C"/>
    <w:rsid w:val="006E43B9"/>
    <w:rsid w:val="006E62E3"/>
    <w:rsid w:val="006F1C19"/>
    <w:rsid w:val="006F4E68"/>
    <w:rsid w:val="006F5DBF"/>
    <w:rsid w:val="006F65FF"/>
    <w:rsid w:val="00700481"/>
    <w:rsid w:val="00704498"/>
    <w:rsid w:val="00706D7D"/>
    <w:rsid w:val="00714A46"/>
    <w:rsid w:val="00731163"/>
    <w:rsid w:val="007315CE"/>
    <w:rsid w:val="00740CE9"/>
    <w:rsid w:val="00746CFD"/>
    <w:rsid w:val="00753760"/>
    <w:rsid w:val="00757462"/>
    <w:rsid w:val="00761EA8"/>
    <w:rsid w:val="00766E96"/>
    <w:rsid w:val="0077222B"/>
    <w:rsid w:val="00773089"/>
    <w:rsid w:val="0077397D"/>
    <w:rsid w:val="00775CD9"/>
    <w:rsid w:val="00777DA5"/>
    <w:rsid w:val="00780CDB"/>
    <w:rsid w:val="00781A0C"/>
    <w:rsid w:val="007840F0"/>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4704"/>
    <w:rsid w:val="00815CF6"/>
    <w:rsid w:val="00817DB1"/>
    <w:rsid w:val="00817E05"/>
    <w:rsid w:val="00821BCE"/>
    <w:rsid w:val="008266FF"/>
    <w:rsid w:val="00842F34"/>
    <w:rsid w:val="00844C22"/>
    <w:rsid w:val="00845246"/>
    <w:rsid w:val="00856DBC"/>
    <w:rsid w:val="008572D9"/>
    <w:rsid w:val="00857A57"/>
    <w:rsid w:val="008675F5"/>
    <w:rsid w:val="0087124D"/>
    <w:rsid w:val="0088380F"/>
    <w:rsid w:val="008862CE"/>
    <w:rsid w:val="00894469"/>
    <w:rsid w:val="008A65A6"/>
    <w:rsid w:val="008B038A"/>
    <w:rsid w:val="008C0B88"/>
    <w:rsid w:val="008D564B"/>
    <w:rsid w:val="008D5B9A"/>
    <w:rsid w:val="008E2357"/>
    <w:rsid w:val="008E67F1"/>
    <w:rsid w:val="008E7E7A"/>
    <w:rsid w:val="008F0ED0"/>
    <w:rsid w:val="00901DE0"/>
    <w:rsid w:val="00902B63"/>
    <w:rsid w:val="00904D1B"/>
    <w:rsid w:val="00907822"/>
    <w:rsid w:val="00915938"/>
    <w:rsid w:val="00920466"/>
    <w:rsid w:val="00920B34"/>
    <w:rsid w:val="009237CC"/>
    <w:rsid w:val="009269FA"/>
    <w:rsid w:val="0093527D"/>
    <w:rsid w:val="00947A64"/>
    <w:rsid w:val="0097626E"/>
    <w:rsid w:val="00981821"/>
    <w:rsid w:val="00981F9A"/>
    <w:rsid w:val="00982E9A"/>
    <w:rsid w:val="0099044C"/>
    <w:rsid w:val="009939E5"/>
    <w:rsid w:val="009A123A"/>
    <w:rsid w:val="009A2AD9"/>
    <w:rsid w:val="009A37FC"/>
    <w:rsid w:val="009B15B7"/>
    <w:rsid w:val="009C4715"/>
    <w:rsid w:val="009C5125"/>
    <w:rsid w:val="009D097D"/>
    <w:rsid w:val="009D10D9"/>
    <w:rsid w:val="009D6AB6"/>
    <w:rsid w:val="009E045F"/>
    <w:rsid w:val="009E1D83"/>
    <w:rsid w:val="009E3A5D"/>
    <w:rsid w:val="009E5FF9"/>
    <w:rsid w:val="009E6401"/>
    <w:rsid w:val="009F24C6"/>
    <w:rsid w:val="009F3256"/>
    <w:rsid w:val="00A07F20"/>
    <w:rsid w:val="00A2211D"/>
    <w:rsid w:val="00A242A2"/>
    <w:rsid w:val="00A24E53"/>
    <w:rsid w:val="00A26FED"/>
    <w:rsid w:val="00A27DE5"/>
    <w:rsid w:val="00A33A75"/>
    <w:rsid w:val="00A375E7"/>
    <w:rsid w:val="00A40F67"/>
    <w:rsid w:val="00A44732"/>
    <w:rsid w:val="00A50433"/>
    <w:rsid w:val="00A50D7F"/>
    <w:rsid w:val="00A75CAE"/>
    <w:rsid w:val="00A75F00"/>
    <w:rsid w:val="00A803CC"/>
    <w:rsid w:val="00A8570A"/>
    <w:rsid w:val="00A86569"/>
    <w:rsid w:val="00AA12F3"/>
    <w:rsid w:val="00AA4367"/>
    <w:rsid w:val="00AB3E1A"/>
    <w:rsid w:val="00AC0F0F"/>
    <w:rsid w:val="00AC4ADA"/>
    <w:rsid w:val="00AE55E6"/>
    <w:rsid w:val="00AE6AA2"/>
    <w:rsid w:val="00AE7B12"/>
    <w:rsid w:val="00AF7392"/>
    <w:rsid w:val="00B03C84"/>
    <w:rsid w:val="00B06DED"/>
    <w:rsid w:val="00B23F10"/>
    <w:rsid w:val="00B263B7"/>
    <w:rsid w:val="00B30FAC"/>
    <w:rsid w:val="00B35F8B"/>
    <w:rsid w:val="00B36434"/>
    <w:rsid w:val="00B368F4"/>
    <w:rsid w:val="00B45D81"/>
    <w:rsid w:val="00B4730E"/>
    <w:rsid w:val="00B56323"/>
    <w:rsid w:val="00B64A02"/>
    <w:rsid w:val="00B73D74"/>
    <w:rsid w:val="00B91330"/>
    <w:rsid w:val="00B95819"/>
    <w:rsid w:val="00BA3545"/>
    <w:rsid w:val="00BA4C9D"/>
    <w:rsid w:val="00BA7D75"/>
    <w:rsid w:val="00BB6941"/>
    <w:rsid w:val="00BC26D5"/>
    <w:rsid w:val="00BD4B2E"/>
    <w:rsid w:val="00BE315F"/>
    <w:rsid w:val="00BF145C"/>
    <w:rsid w:val="00BF281F"/>
    <w:rsid w:val="00BF2EAE"/>
    <w:rsid w:val="00BF339D"/>
    <w:rsid w:val="00BF49C4"/>
    <w:rsid w:val="00C00BE8"/>
    <w:rsid w:val="00C3288E"/>
    <w:rsid w:val="00C4332B"/>
    <w:rsid w:val="00C450B1"/>
    <w:rsid w:val="00C5163D"/>
    <w:rsid w:val="00C517F7"/>
    <w:rsid w:val="00C518D6"/>
    <w:rsid w:val="00C51CEF"/>
    <w:rsid w:val="00C53302"/>
    <w:rsid w:val="00C555E5"/>
    <w:rsid w:val="00C61549"/>
    <w:rsid w:val="00C61E35"/>
    <w:rsid w:val="00C66EEC"/>
    <w:rsid w:val="00C856FE"/>
    <w:rsid w:val="00C86B72"/>
    <w:rsid w:val="00C90185"/>
    <w:rsid w:val="00C9712A"/>
    <w:rsid w:val="00CA0B8E"/>
    <w:rsid w:val="00CA1668"/>
    <w:rsid w:val="00CA1FC6"/>
    <w:rsid w:val="00CB5EBB"/>
    <w:rsid w:val="00CB6194"/>
    <w:rsid w:val="00CD02FF"/>
    <w:rsid w:val="00CD05DE"/>
    <w:rsid w:val="00CE5379"/>
    <w:rsid w:val="00CE53BF"/>
    <w:rsid w:val="00CE5DA6"/>
    <w:rsid w:val="00CE6EAD"/>
    <w:rsid w:val="00CF0A96"/>
    <w:rsid w:val="00CF2EAD"/>
    <w:rsid w:val="00CF3DE8"/>
    <w:rsid w:val="00D07212"/>
    <w:rsid w:val="00D256A9"/>
    <w:rsid w:val="00D34669"/>
    <w:rsid w:val="00D40714"/>
    <w:rsid w:val="00D42AB4"/>
    <w:rsid w:val="00D43C82"/>
    <w:rsid w:val="00D45183"/>
    <w:rsid w:val="00D50A18"/>
    <w:rsid w:val="00D52289"/>
    <w:rsid w:val="00D6219C"/>
    <w:rsid w:val="00D64A7F"/>
    <w:rsid w:val="00D70FE9"/>
    <w:rsid w:val="00D71953"/>
    <w:rsid w:val="00D80AAB"/>
    <w:rsid w:val="00D84AAC"/>
    <w:rsid w:val="00D9434B"/>
    <w:rsid w:val="00D9797E"/>
    <w:rsid w:val="00DA1994"/>
    <w:rsid w:val="00DA20E3"/>
    <w:rsid w:val="00DB23FA"/>
    <w:rsid w:val="00DC23ED"/>
    <w:rsid w:val="00DC5E96"/>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634FE"/>
    <w:rsid w:val="00E65205"/>
    <w:rsid w:val="00E7266F"/>
    <w:rsid w:val="00E7387F"/>
    <w:rsid w:val="00E807AC"/>
    <w:rsid w:val="00EB4BE6"/>
    <w:rsid w:val="00EC10FA"/>
    <w:rsid w:val="00EC20CC"/>
    <w:rsid w:val="00ED0ABF"/>
    <w:rsid w:val="00ED1BA5"/>
    <w:rsid w:val="00ED4644"/>
    <w:rsid w:val="00ED7F61"/>
    <w:rsid w:val="00EE3AF2"/>
    <w:rsid w:val="00EF4FB0"/>
    <w:rsid w:val="00F04B98"/>
    <w:rsid w:val="00F121CF"/>
    <w:rsid w:val="00F14C74"/>
    <w:rsid w:val="00F206FC"/>
    <w:rsid w:val="00F22FA5"/>
    <w:rsid w:val="00F24FC5"/>
    <w:rsid w:val="00F2571F"/>
    <w:rsid w:val="00F32878"/>
    <w:rsid w:val="00F3719D"/>
    <w:rsid w:val="00F40160"/>
    <w:rsid w:val="00F41F68"/>
    <w:rsid w:val="00F42851"/>
    <w:rsid w:val="00F430B7"/>
    <w:rsid w:val="00F47317"/>
    <w:rsid w:val="00F71947"/>
    <w:rsid w:val="00F8103E"/>
    <w:rsid w:val="00FA0E9E"/>
    <w:rsid w:val="00FA1CA7"/>
    <w:rsid w:val="00FA7994"/>
    <w:rsid w:val="00FB22D3"/>
    <w:rsid w:val="00FC4A13"/>
    <w:rsid w:val="00FC5EF6"/>
    <w:rsid w:val="00FD1511"/>
    <w:rsid w:val="00FD20C0"/>
    <w:rsid w:val="00FD2393"/>
    <w:rsid w:val="00FD45F3"/>
    <w:rsid w:val="00FD4706"/>
    <w:rsid w:val="00FE392E"/>
    <w:rsid w:val="00FE70E6"/>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19CB"/>
  <w15:chartTrackingRefBased/>
  <w15:docId w15:val="{08660253-02F4-475A-9BB8-6A8A4235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A64"/>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link w:val="a3"/>
    <w:uiPriority w:val="99"/>
    <w:rsid w:val="00947A64"/>
    <w:rPr>
      <w:sz w:val="18"/>
      <w:szCs w:val="18"/>
    </w:rPr>
  </w:style>
  <w:style w:type="paragraph" w:styleId="a3">
    <w:name w:val="footer"/>
    <w:basedOn w:val="a"/>
    <w:link w:val="1"/>
    <w:uiPriority w:val="99"/>
    <w:unhideWhenUsed/>
    <w:rsid w:val="00947A64"/>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4">
    <w:name w:val="页脚 字符"/>
    <w:basedOn w:val="a0"/>
    <w:uiPriority w:val="99"/>
    <w:semiHidden/>
    <w:rsid w:val="00947A64"/>
    <w:rPr>
      <w:rFonts w:ascii="Calibri" w:eastAsia="宋体" w:hAnsi="Calibri" w:cs="Times New Roman"/>
      <w:sz w:val="18"/>
      <w:szCs w:val="18"/>
      <w14:ligatures w14:val="none"/>
    </w:rPr>
  </w:style>
  <w:style w:type="paragraph" w:customStyle="1" w:styleId="Char">
    <w:name w:val="Char"/>
    <w:basedOn w:val="a"/>
    <w:rsid w:val="00947A64"/>
    <w:pPr>
      <w:widowControl/>
      <w:spacing w:after="160" w:line="240" w:lineRule="exact"/>
      <w:jc w:val="left"/>
    </w:pPr>
    <w:rPr>
      <w:rFonts w:ascii="Verdana" w:hAnsi="Verdana" w:cs="宋体"/>
      <w:kern w:val="0"/>
      <w:sz w:val="20"/>
      <w:szCs w:val="20"/>
      <w:lang w:eastAsia="en-US"/>
    </w:rPr>
  </w:style>
  <w:style w:type="paragraph" w:styleId="a5">
    <w:name w:val="header"/>
    <w:basedOn w:val="a"/>
    <w:link w:val="a6"/>
    <w:uiPriority w:val="99"/>
    <w:unhideWhenUsed/>
    <w:rsid w:val="006A53A5"/>
    <w:pPr>
      <w:tabs>
        <w:tab w:val="center" w:pos="4153"/>
        <w:tab w:val="right" w:pos="8306"/>
      </w:tabs>
      <w:snapToGrid w:val="0"/>
      <w:jc w:val="center"/>
    </w:pPr>
    <w:rPr>
      <w:sz w:val="18"/>
      <w:szCs w:val="18"/>
    </w:rPr>
  </w:style>
  <w:style w:type="character" w:customStyle="1" w:styleId="a6">
    <w:name w:val="页眉 字符"/>
    <w:basedOn w:val="a0"/>
    <w:link w:val="a5"/>
    <w:uiPriority w:val="99"/>
    <w:rsid w:val="006A53A5"/>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18</cp:revision>
  <dcterms:created xsi:type="dcterms:W3CDTF">2024-04-19T01:51:00Z</dcterms:created>
  <dcterms:modified xsi:type="dcterms:W3CDTF">2024-04-20T07:27:00Z</dcterms:modified>
</cp:coreProperties>
</file>