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9C12E">
      <w:pPr>
        <w:spacing w:line="360" w:lineRule="auto"/>
        <w:rPr>
          <w:rFonts w:hint="default" w:ascii="黑体" w:eastAsia="黑体"/>
          <w:sz w:val="24"/>
          <w:lang w:val="en-US" w:eastAsia="zh-CN"/>
        </w:rPr>
      </w:pPr>
      <w:r>
        <w:rPr>
          <w:rFonts w:hint="eastAsia" w:ascii="黑体" w:eastAsia="黑体"/>
          <w:sz w:val="24"/>
        </w:rPr>
        <w:t>证券代码：600467       股票简称：好 当 家        公告编号：临202</w:t>
      </w:r>
      <w:r>
        <w:rPr>
          <w:rFonts w:hint="eastAsia" w:ascii="黑体" w:eastAsia="黑体"/>
          <w:sz w:val="24"/>
          <w:lang w:val="en-US" w:eastAsia="zh-CN"/>
        </w:rPr>
        <w:t>6</w:t>
      </w:r>
      <w:r>
        <w:rPr>
          <w:rFonts w:hint="eastAsia" w:ascii="黑体" w:eastAsia="黑体"/>
          <w:sz w:val="24"/>
        </w:rPr>
        <w:t>-0</w:t>
      </w:r>
      <w:r>
        <w:rPr>
          <w:rFonts w:hint="eastAsia" w:ascii="黑体" w:eastAsia="黑体"/>
          <w:sz w:val="24"/>
          <w:lang w:val="en-US" w:eastAsia="zh-CN"/>
        </w:rPr>
        <w:t>03</w:t>
      </w:r>
    </w:p>
    <w:p w14:paraId="1C44C393">
      <w:pPr>
        <w:spacing w:line="360" w:lineRule="auto"/>
        <w:jc w:val="center"/>
        <w:rPr>
          <w:rFonts w:ascii="黑体" w:eastAsia="黑体"/>
          <w:b/>
          <w:sz w:val="36"/>
          <w:szCs w:val="36"/>
        </w:rPr>
      </w:pPr>
    </w:p>
    <w:p w14:paraId="150FAB48">
      <w:pPr>
        <w:spacing w:line="360" w:lineRule="auto"/>
        <w:jc w:val="center"/>
        <w:rPr>
          <w:rFonts w:ascii="黑体" w:eastAsia="黑体"/>
          <w:b/>
          <w:sz w:val="36"/>
          <w:szCs w:val="36"/>
        </w:rPr>
      </w:pPr>
      <w:r>
        <w:rPr>
          <w:rFonts w:hint="eastAsia" w:ascii="黑体" w:eastAsia="黑体"/>
          <w:b/>
          <w:sz w:val="36"/>
          <w:szCs w:val="36"/>
        </w:rPr>
        <w:t>山东好当家海洋发展股份有限公司</w:t>
      </w:r>
    </w:p>
    <w:p w14:paraId="152AAA92">
      <w:pPr>
        <w:pStyle w:val="4"/>
        <w:jc w:val="center"/>
        <w:rPr>
          <w:rFonts w:ascii="黑体" w:eastAsia="黑体"/>
          <w:b/>
          <w:sz w:val="36"/>
          <w:szCs w:val="36"/>
        </w:rPr>
      </w:pPr>
      <w:r>
        <w:rPr>
          <w:rFonts w:hint="eastAsia" w:ascii="黑体" w:eastAsia="黑体"/>
          <w:b/>
          <w:sz w:val="36"/>
          <w:szCs w:val="36"/>
        </w:rPr>
        <w:t>关于控股股东进行股票</w:t>
      </w:r>
      <w:r>
        <w:rPr>
          <w:rFonts w:hint="eastAsia" w:ascii="黑体" w:eastAsia="黑体"/>
          <w:b/>
          <w:sz w:val="36"/>
          <w:szCs w:val="36"/>
          <w:lang w:val="en-US" w:eastAsia="zh-CN"/>
        </w:rPr>
        <w:t>解除</w:t>
      </w:r>
      <w:r>
        <w:rPr>
          <w:rFonts w:hint="eastAsia" w:ascii="黑体" w:eastAsia="黑体"/>
          <w:b/>
          <w:sz w:val="36"/>
          <w:szCs w:val="36"/>
        </w:rPr>
        <w:t>质押</w:t>
      </w:r>
      <w:r>
        <w:rPr>
          <w:rFonts w:hint="eastAsia" w:ascii="黑体" w:eastAsia="黑体"/>
          <w:b/>
          <w:sz w:val="36"/>
          <w:szCs w:val="36"/>
          <w:lang w:val="en-US" w:eastAsia="zh-CN"/>
        </w:rPr>
        <w:t>及质押</w:t>
      </w:r>
      <w:r>
        <w:rPr>
          <w:rFonts w:hint="eastAsia" w:ascii="黑体" w:eastAsia="黑体"/>
          <w:b/>
          <w:sz w:val="36"/>
          <w:szCs w:val="36"/>
        </w:rPr>
        <w:t>的公告</w:t>
      </w:r>
    </w:p>
    <w:p w14:paraId="20DE6C79">
      <w:pPr>
        <w:spacing w:line="360" w:lineRule="auto"/>
        <w:jc w:val="center"/>
        <w:rPr>
          <w:rFonts w:ascii="黑体" w:eastAsia="黑体"/>
          <w:sz w:val="24"/>
        </w:rPr>
      </w:pPr>
    </w:p>
    <w:p w14:paraId="0FF411BC">
      <w:pPr>
        <w:adjustRightInd w:val="0"/>
        <w:spacing w:line="440" w:lineRule="exact"/>
        <w:ind w:firstLine="420" w:firstLineChars="200"/>
        <w:rPr>
          <w:szCs w:val="21"/>
        </w:rPr>
      </w:pPr>
      <w:r>
        <w:rPr>
          <w:rFonts w:hint="eastAsia"/>
          <w:szCs w:val="21"/>
        </w:rPr>
        <w:t>本公司董事会及全体董事保证本公告内容不存在任何虚假记载、误导性陈述或者重大遗漏，并对其内容的真实性、准确性和完整性承担个别及连带责任。</w:t>
      </w:r>
    </w:p>
    <w:p w14:paraId="2159207B">
      <w:pPr>
        <w:adjustRightInd w:val="0"/>
        <w:spacing w:line="440" w:lineRule="exact"/>
        <w:ind w:firstLine="420" w:firstLineChars="200"/>
        <w:rPr>
          <w:szCs w:val="21"/>
        </w:rPr>
      </w:pPr>
    </w:p>
    <w:p w14:paraId="733FD796">
      <w:pPr>
        <w:pStyle w:val="4"/>
        <w:spacing w:line="500" w:lineRule="exact"/>
        <w:ind w:firstLine="482" w:firstLineChars="200"/>
        <w:rPr>
          <w:rFonts w:hint="eastAsia" w:ascii="宋体" w:hAnsi="宋体" w:eastAsia="宋体"/>
          <w:b/>
        </w:rPr>
      </w:pPr>
      <w:r>
        <w:rPr>
          <w:rFonts w:hint="eastAsia" w:ascii="宋体" w:hAnsi="宋体" w:eastAsia="宋体"/>
          <w:b/>
        </w:rPr>
        <w:t>重要内容提示：</w:t>
      </w:r>
    </w:p>
    <w:p w14:paraId="733E8B94">
      <w:pPr>
        <w:pStyle w:val="4"/>
        <w:spacing w:line="500" w:lineRule="exact"/>
        <w:ind w:firstLine="482" w:firstLineChars="200"/>
        <w:rPr>
          <w:rFonts w:hint="eastAsia" w:ascii="宋体" w:hAnsi="宋体" w:eastAsia="宋体"/>
          <w:b/>
          <w:highlight w:val="none"/>
        </w:rPr>
      </w:pPr>
      <w:r>
        <w:rPr>
          <w:rFonts w:hint="eastAsia" w:ascii="宋体" w:hAnsi="宋体" w:eastAsia="宋体"/>
          <w:b/>
        </w:rPr>
        <w:t>●</w:t>
      </w:r>
      <w:r>
        <w:rPr>
          <w:rFonts w:hint="eastAsia" w:ascii="宋体" w:hAnsi="宋体" w:eastAsia="宋体"/>
        </w:rPr>
        <w:t>山东好当家海洋发展股份有限公司（以下简称“公司”）控股股东好当家集团有限公司（以下简称“好当家集团”）持有公司的股</w:t>
      </w:r>
      <w:r>
        <w:rPr>
          <w:rFonts w:hint="eastAsia" w:ascii="宋体" w:hAnsi="宋体" w:eastAsia="宋体"/>
          <w:highlight w:val="none"/>
        </w:rPr>
        <w:t>份总数为</w:t>
      </w:r>
      <w:r>
        <w:rPr>
          <w:rFonts w:ascii="宋体" w:hAnsi="宋体" w:eastAsia="宋体"/>
          <w:color w:val="auto"/>
          <w:highlight w:val="none"/>
        </w:rPr>
        <w:t>5</w:t>
      </w:r>
      <w:r>
        <w:rPr>
          <w:rFonts w:hint="eastAsia" w:ascii="宋体" w:hAnsi="宋体" w:eastAsia="宋体"/>
          <w:color w:val="auto"/>
          <w:highlight w:val="none"/>
          <w:lang w:val="en-US" w:eastAsia="zh-CN"/>
        </w:rPr>
        <w:t>55</w:t>
      </w:r>
      <w:r>
        <w:rPr>
          <w:rFonts w:ascii="宋体" w:hAnsi="宋体" w:eastAsia="宋体"/>
          <w:color w:val="auto"/>
          <w:highlight w:val="none"/>
        </w:rPr>
        <w:t>,</w:t>
      </w:r>
      <w:r>
        <w:rPr>
          <w:rFonts w:hint="eastAsia" w:ascii="宋体" w:hAnsi="宋体" w:eastAsia="宋体"/>
          <w:color w:val="auto"/>
          <w:highlight w:val="none"/>
          <w:lang w:val="en-US" w:eastAsia="zh-CN"/>
        </w:rPr>
        <w:t>550</w:t>
      </w:r>
      <w:r>
        <w:rPr>
          <w:rFonts w:ascii="宋体" w:hAnsi="宋体" w:eastAsia="宋体"/>
          <w:color w:val="auto"/>
          <w:highlight w:val="none"/>
        </w:rPr>
        <w:t>,</w:t>
      </w:r>
      <w:r>
        <w:rPr>
          <w:rFonts w:hint="eastAsia" w:ascii="宋体" w:hAnsi="宋体" w:eastAsia="宋体"/>
          <w:color w:val="auto"/>
          <w:highlight w:val="none"/>
          <w:lang w:val="en-US" w:eastAsia="zh-CN"/>
        </w:rPr>
        <w:t>9</w:t>
      </w:r>
      <w:r>
        <w:rPr>
          <w:rFonts w:hint="eastAsia" w:ascii="宋体" w:hAnsi="宋体" w:eastAsia="宋体"/>
          <w:color w:val="auto"/>
          <w:highlight w:val="none"/>
        </w:rPr>
        <w:t>90股，占公司总股本1</w:t>
      </w:r>
      <w:r>
        <w:rPr>
          <w:rFonts w:ascii="宋体" w:hAnsi="宋体" w:eastAsia="宋体"/>
          <w:color w:val="auto"/>
          <w:highlight w:val="none"/>
        </w:rPr>
        <w:t>,</w:t>
      </w:r>
      <w:r>
        <w:rPr>
          <w:rFonts w:hint="eastAsia" w:ascii="宋体" w:hAnsi="宋体" w:eastAsia="宋体"/>
          <w:color w:val="auto"/>
          <w:highlight w:val="none"/>
        </w:rPr>
        <w:t>460</w:t>
      </w:r>
      <w:r>
        <w:rPr>
          <w:rFonts w:ascii="宋体" w:hAnsi="宋体" w:eastAsia="宋体"/>
          <w:color w:val="auto"/>
          <w:highlight w:val="none"/>
        </w:rPr>
        <w:t>,</w:t>
      </w:r>
      <w:r>
        <w:rPr>
          <w:rFonts w:hint="eastAsia" w:ascii="宋体" w:hAnsi="宋体" w:eastAsia="宋体"/>
          <w:color w:val="auto"/>
          <w:highlight w:val="none"/>
        </w:rPr>
        <w:t>994</w:t>
      </w:r>
      <w:r>
        <w:rPr>
          <w:rFonts w:ascii="宋体" w:hAnsi="宋体" w:eastAsia="宋体"/>
          <w:color w:val="auto"/>
          <w:highlight w:val="none"/>
        </w:rPr>
        <w:t>,</w:t>
      </w:r>
      <w:r>
        <w:rPr>
          <w:rFonts w:hint="eastAsia" w:ascii="宋体" w:hAnsi="宋体" w:eastAsia="宋体"/>
          <w:color w:val="auto"/>
          <w:highlight w:val="none"/>
        </w:rPr>
        <w:t>304股的</w:t>
      </w:r>
      <w:r>
        <w:rPr>
          <w:rFonts w:ascii="宋体" w:hAnsi="宋体" w:eastAsia="宋体"/>
          <w:color w:val="auto"/>
          <w:highlight w:val="none"/>
        </w:rPr>
        <w:t>3</w:t>
      </w:r>
      <w:r>
        <w:rPr>
          <w:rFonts w:hint="eastAsia" w:ascii="宋体" w:hAnsi="宋体" w:eastAsia="宋体"/>
          <w:color w:val="auto"/>
          <w:highlight w:val="none"/>
          <w:lang w:val="en-US" w:eastAsia="zh-CN"/>
        </w:rPr>
        <w:t>8</w:t>
      </w:r>
      <w:r>
        <w:rPr>
          <w:rFonts w:ascii="宋体" w:hAnsi="宋体" w:eastAsia="宋体"/>
          <w:color w:val="auto"/>
          <w:highlight w:val="none"/>
        </w:rPr>
        <w:t>.</w:t>
      </w:r>
      <w:r>
        <w:rPr>
          <w:rFonts w:hint="eastAsia" w:ascii="宋体" w:hAnsi="宋体" w:eastAsia="宋体"/>
          <w:color w:val="auto"/>
          <w:highlight w:val="none"/>
          <w:lang w:val="en-US" w:eastAsia="zh-CN"/>
        </w:rPr>
        <w:t>03</w:t>
      </w:r>
      <w:r>
        <w:rPr>
          <w:rFonts w:ascii="宋体" w:hAnsi="宋体" w:eastAsia="宋体"/>
          <w:color w:val="auto"/>
          <w:highlight w:val="none"/>
        </w:rPr>
        <w:t>%</w:t>
      </w:r>
      <w:r>
        <w:rPr>
          <w:rFonts w:hint="eastAsia" w:ascii="宋体" w:hAnsi="宋体" w:eastAsia="宋体"/>
          <w:color w:val="auto"/>
          <w:highlight w:val="none"/>
        </w:rPr>
        <w:t>。</w:t>
      </w:r>
    </w:p>
    <w:p w14:paraId="417D90CC">
      <w:pPr>
        <w:pStyle w:val="4"/>
        <w:spacing w:line="500" w:lineRule="exact"/>
        <w:ind w:firstLine="482" w:firstLineChars="200"/>
        <w:rPr>
          <w:rFonts w:hint="eastAsia" w:ascii="宋体" w:hAnsi="宋体" w:eastAsia="宋体"/>
          <w:color w:val="auto"/>
          <w:highlight w:val="none"/>
        </w:rPr>
      </w:pPr>
      <w:r>
        <w:rPr>
          <w:rFonts w:hint="eastAsia" w:ascii="宋体" w:hAnsi="宋体" w:eastAsia="宋体"/>
          <w:b/>
          <w:highlight w:val="none"/>
        </w:rPr>
        <w:t>●</w:t>
      </w:r>
      <w:r>
        <w:rPr>
          <w:rFonts w:hint="eastAsia" w:ascii="宋体" w:hAnsi="宋体" w:eastAsia="宋体"/>
          <w:highlight w:val="none"/>
        </w:rPr>
        <w:t>本次</w:t>
      </w:r>
      <w:r>
        <w:rPr>
          <w:rFonts w:hint="eastAsia" w:ascii="宋体" w:hAnsi="宋体" w:eastAsia="宋体"/>
        </w:rPr>
        <w:t>好当家集团</w:t>
      </w:r>
      <w:r>
        <w:rPr>
          <w:rFonts w:hint="eastAsia" w:ascii="宋体" w:hAnsi="宋体" w:eastAsia="宋体"/>
          <w:lang w:val="en-US" w:eastAsia="zh-CN"/>
        </w:rPr>
        <w:t>解除</w:t>
      </w:r>
      <w:r>
        <w:rPr>
          <w:rFonts w:hint="eastAsia" w:ascii="宋体" w:hAnsi="宋体" w:eastAsia="宋体"/>
          <w:highlight w:val="none"/>
        </w:rPr>
        <w:t>质押</w:t>
      </w:r>
      <w:r>
        <w:rPr>
          <w:rFonts w:hint="eastAsia" w:ascii="宋体" w:hAnsi="宋体" w:eastAsia="宋体"/>
          <w:highlight w:val="none"/>
          <w:lang w:val="en-US" w:eastAsia="zh-CN"/>
        </w:rPr>
        <w:t>股份数量50,000,000股</w:t>
      </w:r>
      <w:r>
        <w:rPr>
          <w:rFonts w:hint="eastAsia" w:ascii="宋体" w:hAnsi="宋体" w:eastAsia="宋体"/>
          <w:highlight w:val="none"/>
        </w:rPr>
        <w:t>，</w:t>
      </w:r>
      <w:r>
        <w:rPr>
          <w:rFonts w:hint="eastAsia" w:ascii="宋体" w:hAnsi="宋体" w:eastAsia="宋体"/>
          <w:highlight w:val="none"/>
          <w:lang w:val="en-US" w:eastAsia="zh-CN"/>
        </w:rPr>
        <w:t>质押股份数量50,000,000股；本次解除质押以及质押后，</w:t>
      </w:r>
      <w:r>
        <w:rPr>
          <w:rFonts w:hint="eastAsia" w:ascii="宋体" w:hAnsi="宋体" w:eastAsia="宋体"/>
          <w:highlight w:val="none"/>
        </w:rPr>
        <w:t>好当家集团持有公司股份累计质押数量（含本次）</w:t>
      </w:r>
      <w:r>
        <w:rPr>
          <w:rFonts w:hint="eastAsia" w:ascii="宋体" w:hAnsi="宋体" w:eastAsia="宋体"/>
          <w:color w:val="auto"/>
          <w:highlight w:val="none"/>
        </w:rPr>
        <w:t>3</w:t>
      </w:r>
      <w:r>
        <w:rPr>
          <w:rFonts w:hint="eastAsia" w:ascii="宋体" w:hAnsi="宋体" w:eastAsia="宋体"/>
          <w:color w:val="auto"/>
          <w:highlight w:val="none"/>
          <w:lang w:val="en-US" w:eastAsia="zh-CN"/>
        </w:rPr>
        <w:t>62</w:t>
      </w:r>
      <w:r>
        <w:rPr>
          <w:rFonts w:ascii="宋体" w:hAnsi="宋体" w:eastAsia="宋体"/>
          <w:color w:val="auto"/>
          <w:highlight w:val="none"/>
        </w:rPr>
        <w:t>,</w:t>
      </w:r>
      <w:r>
        <w:rPr>
          <w:rFonts w:hint="eastAsia" w:ascii="宋体" w:hAnsi="宋体" w:eastAsia="宋体"/>
          <w:color w:val="auto"/>
          <w:highlight w:val="none"/>
          <w:lang w:val="en-US" w:eastAsia="zh-CN"/>
        </w:rPr>
        <w:t>5</w:t>
      </w:r>
      <w:r>
        <w:rPr>
          <w:rFonts w:hint="eastAsia" w:ascii="宋体" w:hAnsi="宋体" w:eastAsia="宋体"/>
          <w:color w:val="auto"/>
          <w:highlight w:val="none"/>
        </w:rPr>
        <w:t>41</w:t>
      </w:r>
      <w:r>
        <w:rPr>
          <w:rFonts w:ascii="宋体" w:hAnsi="宋体" w:eastAsia="宋体"/>
          <w:color w:val="auto"/>
          <w:highlight w:val="none"/>
        </w:rPr>
        <w:t>,</w:t>
      </w:r>
      <w:r>
        <w:rPr>
          <w:rFonts w:hint="eastAsia" w:ascii="宋体" w:hAnsi="宋体" w:eastAsia="宋体"/>
          <w:color w:val="auto"/>
          <w:highlight w:val="none"/>
        </w:rPr>
        <w:t>400股，占其所持公司股份总数的6</w:t>
      </w:r>
      <w:r>
        <w:rPr>
          <w:rFonts w:hint="eastAsia" w:ascii="宋体" w:hAnsi="宋体" w:eastAsia="宋体"/>
          <w:color w:val="auto"/>
          <w:highlight w:val="none"/>
          <w:lang w:val="en-US" w:eastAsia="zh-CN"/>
        </w:rPr>
        <w:t>5</w:t>
      </w:r>
      <w:r>
        <w:rPr>
          <w:rFonts w:hint="eastAsia" w:ascii="宋体" w:hAnsi="宋体" w:eastAsia="宋体"/>
          <w:color w:val="auto"/>
          <w:highlight w:val="none"/>
        </w:rPr>
        <w:t>.</w:t>
      </w:r>
      <w:r>
        <w:rPr>
          <w:rFonts w:hint="eastAsia" w:ascii="宋体" w:hAnsi="宋体" w:eastAsia="宋体"/>
          <w:color w:val="auto"/>
          <w:highlight w:val="none"/>
          <w:lang w:val="en-US" w:eastAsia="zh-CN"/>
        </w:rPr>
        <w:t>26</w:t>
      </w:r>
      <w:r>
        <w:rPr>
          <w:rFonts w:ascii="宋体" w:hAnsi="宋体" w:eastAsia="宋体"/>
          <w:color w:val="auto"/>
          <w:highlight w:val="none"/>
        </w:rPr>
        <w:t>%</w:t>
      </w:r>
      <w:r>
        <w:rPr>
          <w:rFonts w:hint="eastAsia" w:ascii="宋体" w:hAnsi="宋体" w:eastAsia="宋体"/>
          <w:color w:val="auto"/>
          <w:highlight w:val="none"/>
        </w:rPr>
        <w:t>，占公司总股本的2</w:t>
      </w:r>
      <w:r>
        <w:rPr>
          <w:rFonts w:hint="eastAsia" w:ascii="宋体" w:hAnsi="宋体" w:eastAsia="宋体"/>
          <w:color w:val="auto"/>
          <w:highlight w:val="none"/>
          <w:lang w:val="en-US" w:eastAsia="zh-CN"/>
        </w:rPr>
        <w:t>4</w:t>
      </w:r>
      <w:r>
        <w:rPr>
          <w:rFonts w:hint="eastAsia" w:ascii="宋体" w:hAnsi="宋体" w:eastAsia="宋体"/>
          <w:color w:val="auto"/>
          <w:highlight w:val="none"/>
        </w:rPr>
        <w:t>.</w:t>
      </w:r>
      <w:r>
        <w:rPr>
          <w:rFonts w:hint="eastAsia" w:ascii="宋体" w:hAnsi="宋体" w:eastAsia="宋体"/>
          <w:color w:val="auto"/>
          <w:highlight w:val="none"/>
          <w:lang w:val="en-US" w:eastAsia="zh-CN"/>
        </w:rPr>
        <w:t>81</w:t>
      </w:r>
      <w:r>
        <w:rPr>
          <w:rFonts w:ascii="宋体" w:hAnsi="宋体" w:eastAsia="宋体"/>
          <w:color w:val="auto"/>
          <w:highlight w:val="none"/>
        </w:rPr>
        <w:t>%</w:t>
      </w:r>
      <w:r>
        <w:rPr>
          <w:rFonts w:hint="eastAsia" w:ascii="宋体" w:hAnsi="宋体" w:eastAsia="宋体"/>
          <w:color w:val="auto"/>
          <w:highlight w:val="none"/>
        </w:rPr>
        <w:t>。</w:t>
      </w:r>
    </w:p>
    <w:p w14:paraId="05DCD077">
      <w:pPr>
        <w:pStyle w:val="4"/>
        <w:numPr>
          <w:ilvl w:val="0"/>
          <w:numId w:val="0"/>
        </w:numPr>
        <w:spacing w:line="500" w:lineRule="exact"/>
        <w:ind w:firstLine="482" w:firstLineChars="200"/>
        <w:rPr>
          <w:rFonts w:hint="eastAsia" w:ascii="宋体" w:hAnsi="宋体" w:eastAsia="宋体"/>
          <w:b/>
          <w:bCs/>
          <w:color w:val="auto"/>
        </w:rPr>
      </w:pPr>
      <w:r>
        <w:rPr>
          <w:rFonts w:hint="eastAsia" w:ascii="宋体" w:hAnsi="宋体" w:eastAsia="宋体"/>
          <w:b/>
          <w:bCs/>
          <w:color w:val="auto"/>
          <w:lang w:val="en-US" w:eastAsia="zh-CN"/>
        </w:rPr>
        <w:t>一、</w:t>
      </w:r>
      <w:r>
        <w:rPr>
          <w:rFonts w:hint="eastAsia" w:ascii="宋体" w:hAnsi="宋体" w:eastAsia="宋体"/>
          <w:b/>
          <w:bCs/>
          <w:color w:val="auto"/>
        </w:rPr>
        <w:t>股份解除质押以及质押情况</w:t>
      </w:r>
    </w:p>
    <w:p w14:paraId="77D3CC92">
      <w:pPr>
        <w:pStyle w:val="4"/>
        <w:spacing w:line="500" w:lineRule="exact"/>
        <w:ind w:firstLine="480" w:firstLineChars="200"/>
        <w:rPr>
          <w:rFonts w:hint="eastAsia" w:ascii="宋体" w:hAnsi="宋体" w:eastAsia="宋体"/>
          <w:color w:val="auto"/>
          <w:highlight w:val="none"/>
        </w:rPr>
      </w:pPr>
      <w:r>
        <w:rPr>
          <w:rFonts w:hint="eastAsia" w:ascii="宋体" w:hAnsi="宋体" w:eastAsia="宋体"/>
          <w:color w:val="auto"/>
          <w:highlight w:val="none"/>
        </w:rPr>
        <w:t>公司近日接到控股股东好当家集团</w:t>
      </w:r>
      <w:r>
        <w:rPr>
          <w:rFonts w:hint="eastAsia" w:ascii="宋体" w:hAnsi="宋体" w:eastAsia="宋体"/>
          <w:color w:val="auto"/>
          <w:highlight w:val="none"/>
          <w:lang w:val="en-US" w:eastAsia="zh-CN"/>
        </w:rPr>
        <w:t>关</w:t>
      </w:r>
      <w:r>
        <w:rPr>
          <w:rFonts w:hint="eastAsia" w:ascii="宋体" w:hAnsi="宋体" w:eastAsia="宋体"/>
          <w:color w:val="auto"/>
          <w:highlight w:val="none"/>
        </w:rPr>
        <w:t>于其持有的公司部分股份解除质押以及质押的通知，具体</w:t>
      </w:r>
      <w:r>
        <w:rPr>
          <w:rFonts w:hint="eastAsia" w:ascii="宋体" w:hAnsi="宋体" w:eastAsia="宋体"/>
          <w:color w:val="auto"/>
          <w:highlight w:val="none"/>
          <w:lang w:val="en-US" w:eastAsia="zh-CN"/>
        </w:rPr>
        <w:t>情况</w:t>
      </w:r>
      <w:r>
        <w:rPr>
          <w:rFonts w:hint="eastAsia" w:ascii="宋体" w:hAnsi="宋体" w:eastAsia="宋体"/>
          <w:color w:val="auto"/>
          <w:highlight w:val="none"/>
        </w:rPr>
        <w:t>如下：</w:t>
      </w:r>
    </w:p>
    <w:p w14:paraId="135BFA19">
      <w:pPr>
        <w:pStyle w:val="4"/>
        <w:numPr>
          <w:ilvl w:val="0"/>
          <w:numId w:val="1"/>
        </w:numPr>
        <w:spacing w:line="500" w:lineRule="exact"/>
        <w:ind w:firstLine="602" w:firstLineChars="250"/>
        <w:rPr>
          <w:rFonts w:hint="eastAsia" w:ascii="宋体" w:hAnsi="宋体" w:eastAsia="宋体"/>
          <w:b/>
          <w:bCs/>
          <w:color w:val="auto"/>
          <w:highlight w:val="none"/>
        </w:rPr>
      </w:pPr>
      <w:r>
        <w:rPr>
          <w:rFonts w:hint="eastAsia" w:ascii="宋体" w:hAnsi="宋体" w:eastAsia="宋体"/>
          <w:b/>
          <w:bCs/>
          <w:color w:val="auto"/>
          <w:highlight w:val="none"/>
        </w:rPr>
        <w:t>本次股份解除质押基本情况</w:t>
      </w:r>
    </w:p>
    <w:tbl>
      <w:tblPr>
        <w:tblStyle w:val="2"/>
        <w:tblW w:w="0" w:type="auto"/>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9"/>
        <w:gridCol w:w="4003"/>
      </w:tblGrid>
      <w:tr w14:paraId="7960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noWrap w:val="0"/>
            <w:vAlign w:val="top"/>
          </w:tcPr>
          <w:p w14:paraId="6CBE41B1">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股东名称</w:t>
            </w:r>
          </w:p>
        </w:tc>
        <w:tc>
          <w:tcPr>
            <w:tcW w:w="4003" w:type="dxa"/>
            <w:noWrap w:val="0"/>
            <w:vAlign w:val="top"/>
          </w:tcPr>
          <w:p w14:paraId="35D752FD">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好当家集团有限公司</w:t>
            </w:r>
          </w:p>
        </w:tc>
      </w:tr>
      <w:tr w14:paraId="357F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noWrap w:val="0"/>
            <w:vAlign w:val="top"/>
          </w:tcPr>
          <w:p w14:paraId="2530E768">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本次解质押股份</w:t>
            </w:r>
          </w:p>
        </w:tc>
        <w:tc>
          <w:tcPr>
            <w:tcW w:w="4003" w:type="dxa"/>
            <w:noWrap w:val="0"/>
            <w:vAlign w:val="top"/>
          </w:tcPr>
          <w:p w14:paraId="652D9EEF">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0,</w:t>
            </w:r>
            <w:r>
              <w:rPr>
                <w:rFonts w:hint="eastAsia" w:ascii="宋体" w:hAnsi="宋体" w:eastAsia="宋体"/>
                <w:color w:val="auto"/>
                <w:sz w:val="21"/>
                <w:szCs w:val="21"/>
                <w:lang w:val="en-US" w:eastAsia="zh-CN"/>
              </w:rPr>
              <w:t>000</w:t>
            </w:r>
            <w:r>
              <w:rPr>
                <w:rFonts w:hint="eastAsia" w:ascii="宋体" w:hAnsi="宋体" w:eastAsia="宋体"/>
                <w:color w:val="auto"/>
                <w:sz w:val="21"/>
                <w:szCs w:val="21"/>
              </w:rPr>
              <w:t>,</w:t>
            </w:r>
            <w:r>
              <w:rPr>
                <w:rFonts w:hint="eastAsia" w:ascii="宋体" w:hAnsi="宋体" w:eastAsia="宋体"/>
                <w:color w:val="auto"/>
                <w:sz w:val="21"/>
                <w:szCs w:val="21"/>
                <w:lang w:val="en-US" w:eastAsia="zh-CN"/>
              </w:rPr>
              <w:t>0</w:t>
            </w:r>
            <w:r>
              <w:rPr>
                <w:rFonts w:hint="eastAsia" w:ascii="宋体" w:hAnsi="宋体" w:eastAsia="宋体"/>
                <w:color w:val="auto"/>
                <w:sz w:val="21"/>
                <w:szCs w:val="21"/>
              </w:rPr>
              <w:t>00股</w:t>
            </w:r>
          </w:p>
        </w:tc>
      </w:tr>
      <w:tr w14:paraId="09EF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noWrap w:val="0"/>
            <w:vAlign w:val="top"/>
          </w:tcPr>
          <w:p w14:paraId="73D83834">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占其所持股份比例</w:t>
            </w:r>
          </w:p>
        </w:tc>
        <w:tc>
          <w:tcPr>
            <w:tcW w:w="4003" w:type="dxa"/>
            <w:noWrap w:val="0"/>
            <w:vAlign w:val="top"/>
          </w:tcPr>
          <w:p w14:paraId="00E8BCAC">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lang w:val="en-US" w:eastAsia="zh-CN"/>
              </w:rPr>
              <w:t>9</w:t>
            </w:r>
            <w:r>
              <w:rPr>
                <w:rFonts w:hint="eastAsia" w:ascii="宋体" w:hAnsi="宋体" w:eastAsia="宋体"/>
                <w:color w:val="auto"/>
                <w:sz w:val="21"/>
                <w:szCs w:val="21"/>
              </w:rPr>
              <w:t>.</w:t>
            </w:r>
            <w:r>
              <w:rPr>
                <w:rFonts w:hint="eastAsia" w:ascii="宋体" w:hAnsi="宋体" w:eastAsia="宋体"/>
                <w:color w:val="auto"/>
                <w:sz w:val="21"/>
                <w:szCs w:val="21"/>
                <w:lang w:val="en-US" w:eastAsia="zh-CN"/>
              </w:rPr>
              <w:t>00</w:t>
            </w:r>
            <w:r>
              <w:rPr>
                <w:rFonts w:hint="eastAsia" w:ascii="宋体" w:hAnsi="宋体" w:eastAsia="宋体"/>
                <w:color w:val="auto"/>
                <w:sz w:val="21"/>
                <w:szCs w:val="21"/>
              </w:rPr>
              <w:t>%</w:t>
            </w:r>
          </w:p>
        </w:tc>
      </w:tr>
      <w:tr w14:paraId="45F2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noWrap w:val="0"/>
            <w:vAlign w:val="top"/>
          </w:tcPr>
          <w:p w14:paraId="77645643">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占公司总股本比例</w:t>
            </w:r>
          </w:p>
        </w:tc>
        <w:tc>
          <w:tcPr>
            <w:tcW w:w="4003" w:type="dxa"/>
            <w:noWrap w:val="0"/>
            <w:vAlign w:val="top"/>
          </w:tcPr>
          <w:p w14:paraId="6445C6BE">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lang w:val="en-US" w:eastAsia="zh-CN"/>
              </w:rPr>
              <w:t>3</w:t>
            </w:r>
            <w:r>
              <w:rPr>
                <w:rFonts w:hint="eastAsia" w:ascii="宋体" w:hAnsi="宋体" w:eastAsia="宋体"/>
                <w:color w:val="auto"/>
                <w:sz w:val="21"/>
                <w:szCs w:val="21"/>
              </w:rPr>
              <w:t>.</w:t>
            </w:r>
            <w:r>
              <w:rPr>
                <w:rFonts w:hint="eastAsia" w:ascii="宋体" w:hAnsi="宋体" w:eastAsia="宋体"/>
                <w:color w:val="auto"/>
                <w:sz w:val="21"/>
                <w:szCs w:val="21"/>
                <w:lang w:val="en-US" w:eastAsia="zh-CN"/>
              </w:rPr>
              <w:t>42</w:t>
            </w:r>
            <w:r>
              <w:rPr>
                <w:rFonts w:ascii="宋体" w:hAnsi="宋体" w:eastAsia="宋体"/>
                <w:color w:val="auto"/>
                <w:sz w:val="21"/>
                <w:szCs w:val="21"/>
              </w:rPr>
              <w:t>%</w:t>
            </w:r>
          </w:p>
        </w:tc>
      </w:tr>
      <w:tr w14:paraId="779F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noWrap w:val="0"/>
            <w:vAlign w:val="top"/>
          </w:tcPr>
          <w:p w14:paraId="268D3553">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解质时间</w:t>
            </w:r>
          </w:p>
        </w:tc>
        <w:tc>
          <w:tcPr>
            <w:tcW w:w="4003" w:type="dxa"/>
            <w:noWrap w:val="0"/>
            <w:vAlign w:val="top"/>
          </w:tcPr>
          <w:p w14:paraId="45309A72">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202</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14</w:t>
            </w:r>
            <w:r>
              <w:rPr>
                <w:rFonts w:hint="eastAsia" w:ascii="宋体" w:hAnsi="宋体" w:eastAsia="宋体"/>
                <w:color w:val="auto"/>
                <w:sz w:val="21"/>
                <w:szCs w:val="21"/>
              </w:rPr>
              <w:t>日</w:t>
            </w:r>
          </w:p>
        </w:tc>
      </w:tr>
      <w:tr w14:paraId="3FBF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noWrap w:val="0"/>
            <w:vAlign w:val="top"/>
          </w:tcPr>
          <w:p w14:paraId="37720F08">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持股数量</w:t>
            </w:r>
          </w:p>
        </w:tc>
        <w:tc>
          <w:tcPr>
            <w:tcW w:w="4003" w:type="dxa"/>
            <w:noWrap w:val="0"/>
            <w:vAlign w:val="top"/>
          </w:tcPr>
          <w:p w14:paraId="0434D013">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5</w:t>
            </w:r>
            <w:r>
              <w:rPr>
                <w:rFonts w:hint="eastAsia" w:ascii="宋体" w:hAnsi="宋体" w:eastAsia="宋体"/>
                <w:color w:val="auto"/>
                <w:sz w:val="21"/>
                <w:szCs w:val="21"/>
                <w:lang w:val="en-US" w:eastAsia="zh-CN"/>
              </w:rPr>
              <w:t>55</w:t>
            </w:r>
            <w:r>
              <w:rPr>
                <w:rFonts w:hint="eastAsia" w:ascii="宋体" w:hAnsi="宋体" w:eastAsia="宋体"/>
                <w:color w:val="auto"/>
                <w:sz w:val="21"/>
                <w:szCs w:val="21"/>
              </w:rPr>
              <w:t>,</w:t>
            </w:r>
            <w:r>
              <w:rPr>
                <w:rFonts w:hint="eastAsia" w:ascii="宋体" w:hAnsi="宋体" w:eastAsia="宋体"/>
                <w:color w:val="auto"/>
                <w:sz w:val="21"/>
                <w:szCs w:val="21"/>
                <w:lang w:val="en-US" w:eastAsia="zh-CN"/>
              </w:rPr>
              <w:t>550</w:t>
            </w:r>
            <w:r>
              <w:rPr>
                <w:rFonts w:ascii="宋体" w:hAnsi="宋体" w:eastAsia="宋体"/>
                <w:color w:val="auto"/>
                <w:sz w:val="21"/>
                <w:szCs w:val="21"/>
              </w:rPr>
              <w:t>,9</w:t>
            </w:r>
            <w:r>
              <w:rPr>
                <w:rFonts w:hint="eastAsia" w:ascii="宋体" w:hAnsi="宋体" w:eastAsia="宋体"/>
                <w:color w:val="auto"/>
                <w:sz w:val="21"/>
                <w:szCs w:val="21"/>
              </w:rPr>
              <w:t>90股</w:t>
            </w:r>
          </w:p>
        </w:tc>
      </w:tr>
      <w:tr w14:paraId="24CD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noWrap w:val="0"/>
            <w:vAlign w:val="top"/>
          </w:tcPr>
          <w:p w14:paraId="21B57081">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持股比例</w:t>
            </w:r>
          </w:p>
        </w:tc>
        <w:tc>
          <w:tcPr>
            <w:tcW w:w="4003" w:type="dxa"/>
            <w:noWrap w:val="0"/>
            <w:vAlign w:val="top"/>
          </w:tcPr>
          <w:p w14:paraId="0C3E8984">
            <w:pPr>
              <w:pStyle w:val="4"/>
              <w:spacing w:line="500" w:lineRule="exact"/>
              <w:rPr>
                <w:rFonts w:hint="eastAsia" w:ascii="宋体" w:hAnsi="宋体" w:eastAsia="宋体"/>
                <w:color w:val="auto"/>
                <w:sz w:val="21"/>
                <w:szCs w:val="21"/>
              </w:rPr>
            </w:pPr>
            <w:r>
              <w:rPr>
                <w:rFonts w:ascii="宋体" w:hAnsi="宋体" w:eastAsia="宋体"/>
                <w:color w:val="auto"/>
                <w:sz w:val="21"/>
                <w:szCs w:val="21"/>
              </w:rPr>
              <w:t>3</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w:t>
            </w:r>
            <w:r>
              <w:rPr>
                <w:rFonts w:hint="eastAsia" w:ascii="宋体" w:hAnsi="宋体" w:eastAsia="宋体"/>
                <w:color w:val="auto"/>
                <w:sz w:val="21"/>
                <w:szCs w:val="21"/>
                <w:lang w:val="en-US" w:eastAsia="zh-CN"/>
              </w:rPr>
              <w:t>03</w:t>
            </w:r>
            <w:r>
              <w:rPr>
                <w:rFonts w:ascii="宋体" w:hAnsi="宋体" w:eastAsia="宋体"/>
                <w:color w:val="auto"/>
                <w:sz w:val="21"/>
                <w:szCs w:val="21"/>
              </w:rPr>
              <w:t>%</w:t>
            </w:r>
          </w:p>
        </w:tc>
      </w:tr>
      <w:tr w14:paraId="1650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noWrap w:val="0"/>
            <w:vAlign w:val="top"/>
          </w:tcPr>
          <w:p w14:paraId="1CC0E073">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剩余被质押股份数量</w:t>
            </w:r>
          </w:p>
        </w:tc>
        <w:tc>
          <w:tcPr>
            <w:tcW w:w="4003" w:type="dxa"/>
            <w:noWrap w:val="0"/>
            <w:vAlign w:val="top"/>
          </w:tcPr>
          <w:p w14:paraId="0EB6B4EF">
            <w:pPr>
              <w:pStyle w:val="4"/>
              <w:spacing w:line="500" w:lineRule="exact"/>
              <w:rPr>
                <w:rFonts w:hint="eastAsia" w:ascii="宋体" w:hAnsi="宋体" w:eastAsia="宋体"/>
                <w:color w:val="auto"/>
                <w:sz w:val="21"/>
                <w:szCs w:val="21"/>
              </w:rPr>
            </w:pPr>
            <w:r>
              <w:rPr>
                <w:rFonts w:ascii="宋体" w:hAnsi="宋体" w:eastAsia="宋体"/>
                <w:color w:val="auto"/>
                <w:sz w:val="21"/>
                <w:szCs w:val="21"/>
              </w:rPr>
              <w:t>3</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w:t>
            </w:r>
            <w:r>
              <w:rPr>
                <w:rFonts w:hint="eastAsia" w:ascii="宋体" w:hAnsi="宋体" w:eastAsia="宋体"/>
                <w:color w:val="auto"/>
                <w:sz w:val="21"/>
                <w:szCs w:val="21"/>
                <w:lang w:val="en-US" w:eastAsia="zh-CN"/>
              </w:rPr>
              <w:t>541</w:t>
            </w:r>
            <w:r>
              <w:rPr>
                <w:rFonts w:hint="eastAsia" w:ascii="宋体" w:hAnsi="宋体" w:eastAsia="宋体"/>
                <w:color w:val="auto"/>
                <w:sz w:val="21"/>
                <w:szCs w:val="21"/>
              </w:rPr>
              <w:t>,400股</w:t>
            </w:r>
          </w:p>
        </w:tc>
      </w:tr>
      <w:tr w14:paraId="1529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noWrap w:val="0"/>
            <w:vAlign w:val="top"/>
          </w:tcPr>
          <w:p w14:paraId="422D724F">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剩余被质押股份数量占其所持股份比例</w:t>
            </w:r>
          </w:p>
        </w:tc>
        <w:tc>
          <w:tcPr>
            <w:tcW w:w="4003" w:type="dxa"/>
            <w:noWrap w:val="0"/>
            <w:vAlign w:val="top"/>
          </w:tcPr>
          <w:p w14:paraId="6702388B">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lang w:val="en-US" w:eastAsia="zh-CN"/>
              </w:rPr>
              <w:t>56</w:t>
            </w:r>
            <w:r>
              <w:rPr>
                <w:rFonts w:hint="eastAsia" w:ascii="宋体" w:hAnsi="宋体" w:eastAsia="宋体"/>
                <w:color w:val="auto"/>
                <w:sz w:val="21"/>
                <w:szCs w:val="21"/>
              </w:rPr>
              <w:t>.</w:t>
            </w:r>
            <w:r>
              <w:rPr>
                <w:rFonts w:hint="eastAsia" w:ascii="宋体" w:hAnsi="宋体" w:eastAsia="宋体"/>
                <w:color w:val="auto"/>
                <w:sz w:val="21"/>
                <w:szCs w:val="21"/>
                <w:lang w:val="en-US" w:eastAsia="zh-CN"/>
              </w:rPr>
              <w:t>26</w:t>
            </w:r>
            <w:r>
              <w:rPr>
                <w:rFonts w:hint="eastAsia" w:ascii="宋体" w:hAnsi="宋体" w:eastAsia="宋体"/>
                <w:color w:val="auto"/>
                <w:sz w:val="21"/>
                <w:szCs w:val="21"/>
              </w:rPr>
              <w:t>%</w:t>
            </w:r>
          </w:p>
        </w:tc>
      </w:tr>
      <w:tr w14:paraId="20B2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noWrap w:val="0"/>
            <w:vAlign w:val="top"/>
          </w:tcPr>
          <w:p w14:paraId="260080B9">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剩余被质押股份数量占公司总股本比例</w:t>
            </w:r>
          </w:p>
        </w:tc>
        <w:tc>
          <w:tcPr>
            <w:tcW w:w="4003" w:type="dxa"/>
            <w:noWrap w:val="0"/>
            <w:vAlign w:val="top"/>
          </w:tcPr>
          <w:p w14:paraId="20567B19">
            <w:pPr>
              <w:pStyle w:val="4"/>
              <w:spacing w:line="500" w:lineRule="exact"/>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w:t>
            </w:r>
            <w:r>
              <w:rPr>
                <w:rFonts w:hint="eastAsia" w:ascii="宋体" w:hAnsi="宋体" w:eastAsia="宋体"/>
                <w:color w:val="auto"/>
                <w:sz w:val="21"/>
                <w:szCs w:val="21"/>
                <w:lang w:val="en-US" w:eastAsia="zh-CN"/>
              </w:rPr>
              <w:t>39</w:t>
            </w:r>
            <w:r>
              <w:rPr>
                <w:rFonts w:hint="eastAsia" w:ascii="宋体" w:hAnsi="宋体" w:eastAsia="宋体"/>
                <w:color w:val="auto"/>
                <w:sz w:val="21"/>
                <w:szCs w:val="21"/>
              </w:rPr>
              <w:t>%</w:t>
            </w:r>
          </w:p>
        </w:tc>
      </w:tr>
    </w:tbl>
    <w:p w14:paraId="0A8F8575">
      <w:pPr>
        <w:pStyle w:val="4"/>
        <w:spacing w:line="500" w:lineRule="exact"/>
        <w:rPr>
          <w:rFonts w:hint="eastAsia" w:ascii="宋体" w:hAnsi="宋体" w:eastAsia="宋体"/>
          <w:color w:val="auto"/>
          <w:highlight w:val="none"/>
        </w:rPr>
      </w:pPr>
    </w:p>
    <w:p w14:paraId="7B627BE9">
      <w:pPr>
        <w:pStyle w:val="4"/>
        <w:numPr>
          <w:ilvl w:val="0"/>
          <w:numId w:val="1"/>
        </w:numPr>
        <w:spacing w:line="500" w:lineRule="exact"/>
        <w:ind w:left="0" w:leftChars="0" w:firstLine="600" w:firstLineChars="250"/>
        <w:rPr>
          <w:rFonts w:hint="eastAsia" w:ascii="宋体" w:hAnsi="宋体" w:eastAsia="宋体"/>
          <w:color w:val="auto"/>
          <w:highlight w:val="none"/>
        </w:rPr>
      </w:pPr>
      <w:r>
        <w:rPr>
          <w:rFonts w:hint="eastAsia" w:ascii="宋体" w:hAnsi="宋体" w:eastAsia="宋体"/>
          <w:color w:val="auto"/>
          <w:highlight w:val="none"/>
        </w:rPr>
        <w:t>本次股份质押基本情况</w:t>
      </w:r>
    </w:p>
    <w:tbl>
      <w:tblPr>
        <w:tblStyle w:val="2"/>
        <w:tblpPr w:leftFromText="180" w:rightFromText="180" w:vertAnchor="text" w:horzAnchor="page" w:tblpX="711" w:tblpY="1198"/>
        <w:tblW w:w="62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742"/>
        <w:gridCol w:w="1287"/>
        <w:gridCol w:w="731"/>
        <w:gridCol w:w="698"/>
        <w:gridCol w:w="971"/>
        <w:gridCol w:w="1037"/>
        <w:gridCol w:w="1549"/>
        <w:gridCol w:w="741"/>
        <w:gridCol w:w="775"/>
        <w:gridCol w:w="775"/>
      </w:tblGrid>
      <w:tr w14:paraId="2643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Align w:val="center"/>
          </w:tcPr>
          <w:p w14:paraId="56542459">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股东名称</w:t>
            </w:r>
          </w:p>
        </w:tc>
        <w:tc>
          <w:tcPr>
            <w:tcW w:w="348" w:type="pct"/>
            <w:vAlign w:val="center"/>
          </w:tcPr>
          <w:p w14:paraId="1F9BC0D7">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是否为控股股东</w:t>
            </w:r>
          </w:p>
        </w:tc>
        <w:tc>
          <w:tcPr>
            <w:tcW w:w="604" w:type="pct"/>
            <w:vAlign w:val="center"/>
          </w:tcPr>
          <w:p w14:paraId="563148B3">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本次质押股数（股）</w:t>
            </w:r>
          </w:p>
        </w:tc>
        <w:tc>
          <w:tcPr>
            <w:tcW w:w="343" w:type="pct"/>
            <w:vAlign w:val="center"/>
          </w:tcPr>
          <w:p w14:paraId="1E1E49C7">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是否为限售股</w:t>
            </w:r>
          </w:p>
        </w:tc>
        <w:tc>
          <w:tcPr>
            <w:tcW w:w="327" w:type="pct"/>
            <w:vAlign w:val="center"/>
          </w:tcPr>
          <w:p w14:paraId="0F988AA4">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是否补充质押</w:t>
            </w:r>
          </w:p>
        </w:tc>
        <w:tc>
          <w:tcPr>
            <w:tcW w:w="455" w:type="pct"/>
            <w:vAlign w:val="center"/>
          </w:tcPr>
          <w:p w14:paraId="6D47E4DA">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质押起始日</w:t>
            </w:r>
          </w:p>
        </w:tc>
        <w:tc>
          <w:tcPr>
            <w:tcW w:w="486" w:type="pct"/>
            <w:vAlign w:val="center"/>
          </w:tcPr>
          <w:p w14:paraId="309B5888">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质押到期日</w:t>
            </w:r>
          </w:p>
        </w:tc>
        <w:tc>
          <w:tcPr>
            <w:tcW w:w="727" w:type="pct"/>
            <w:vAlign w:val="center"/>
          </w:tcPr>
          <w:p w14:paraId="2F33E30A">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质权人</w:t>
            </w:r>
          </w:p>
        </w:tc>
        <w:tc>
          <w:tcPr>
            <w:tcW w:w="347" w:type="pct"/>
            <w:vAlign w:val="center"/>
          </w:tcPr>
          <w:p w14:paraId="5E24DB25">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占其所持股份比例</w:t>
            </w:r>
          </w:p>
        </w:tc>
        <w:tc>
          <w:tcPr>
            <w:tcW w:w="363" w:type="pct"/>
            <w:vAlign w:val="center"/>
          </w:tcPr>
          <w:p w14:paraId="14F3E8F0">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占公司总股本比例</w:t>
            </w:r>
          </w:p>
        </w:tc>
        <w:tc>
          <w:tcPr>
            <w:tcW w:w="363" w:type="pct"/>
          </w:tcPr>
          <w:p w14:paraId="4206234A">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质押融资资金用途</w:t>
            </w:r>
          </w:p>
        </w:tc>
      </w:tr>
      <w:tr w14:paraId="4F51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Align w:val="center"/>
          </w:tcPr>
          <w:p w14:paraId="33761ED8">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好当家集团有限公司</w:t>
            </w:r>
          </w:p>
        </w:tc>
        <w:tc>
          <w:tcPr>
            <w:tcW w:w="348" w:type="pct"/>
            <w:vAlign w:val="center"/>
          </w:tcPr>
          <w:p w14:paraId="0DBE720C">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是</w:t>
            </w:r>
          </w:p>
        </w:tc>
        <w:tc>
          <w:tcPr>
            <w:tcW w:w="604" w:type="pct"/>
            <w:vAlign w:val="center"/>
          </w:tcPr>
          <w:p w14:paraId="38F40D67">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50</w:t>
            </w:r>
            <w:r>
              <w:rPr>
                <w:rFonts w:ascii="宋体" w:hAnsi="宋体" w:eastAsia="宋体"/>
                <w:color w:val="auto"/>
                <w:sz w:val="21"/>
                <w:szCs w:val="21"/>
                <w:highlight w:val="none"/>
              </w:rPr>
              <w:t>,</w:t>
            </w:r>
            <w:r>
              <w:rPr>
                <w:rFonts w:hint="eastAsia" w:ascii="宋体" w:hAnsi="宋体" w:eastAsia="宋体"/>
                <w:color w:val="auto"/>
                <w:sz w:val="21"/>
                <w:szCs w:val="21"/>
                <w:highlight w:val="none"/>
              </w:rPr>
              <w:t>000</w:t>
            </w:r>
            <w:r>
              <w:rPr>
                <w:rFonts w:ascii="宋体" w:hAnsi="宋体" w:eastAsia="宋体"/>
                <w:color w:val="auto"/>
                <w:sz w:val="21"/>
                <w:szCs w:val="21"/>
                <w:highlight w:val="none"/>
              </w:rPr>
              <w:t>,</w:t>
            </w:r>
            <w:r>
              <w:rPr>
                <w:rFonts w:hint="eastAsia" w:ascii="宋体" w:hAnsi="宋体" w:eastAsia="宋体"/>
                <w:color w:val="auto"/>
                <w:sz w:val="21"/>
                <w:szCs w:val="21"/>
                <w:highlight w:val="none"/>
              </w:rPr>
              <w:t>0</w:t>
            </w:r>
            <w:r>
              <w:rPr>
                <w:rFonts w:ascii="宋体" w:hAnsi="宋体" w:eastAsia="宋体"/>
                <w:color w:val="auto"/>
                <w:sz w:val="21"/>
                <w:szCs w:val="21"/>
                <w:highlight w:val="none"/>
              </w:rPr>
              <w:t>00</w:t>
            </w:r>
          </w:p>
        </w:tc>
        <w:tc>
          <w:tcPr>
            <w:tcW w:w="343" w:type="pct"/>
            <w:vAlign w:val="center"/>
          </w:tcPr>
          <w:p w14:paraId="198F6AC4">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否</w:t>
            </w:r>
          </w:p>
        </w:tc>
        <w:tc>
          <w:tcPr>
            <w:tcW w:w="327" w:type="pct"/>
            <w:vAlign w:val="center"/>
          </w:tcPr>
          <w:p w14:paraId="1F4E94F0">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否</w:t>
            </w:r>
          </w:p>
        </w:tc>
        <w:tc>
          <w:tcPr>
            <w:tcW w:w="455" w:type="pct"/>
            <w:vAlign w:val="center"/>
          </w:tcPr>
          <w:p w14:paraId="2C3A6F0C">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202</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13</w:t>
            </w:r>
            <w:r>
              <w:rPr>
                <w:rFonts w:hint="eastAsia" w:ascii="宋体" w:hAnsi="宋体" w:eastAsia="宋体"/>
                <w:color w:val="auto"/>
                <w:sz w:val="21"/>
                <w:szCs w:val="21"/>
                <w:highlight w:val="none"/>
              </w:rPr>
              <w:t>日</w:t>
            </w:r>
          </w:p>
        </w:tc>
        <w:tc>
          <w:tcPr>
            <w:tcW w:w="486" w:type="pct"/>
            <w:vAlign w:val="center"/>
          </w:tcPr>
          <w:p w14:paraId="073BCE9F">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w:t>
            </w:r>
            <w:r>
              <w:rPr>
                <w:rFonts w:ascii="宋体" w:hAnsi="宋体" w:eastAsia="宋体"/>
                <w:color w:val="auto"/>
                <w:sz w:val="21"/>
                <w:szCs w:val="21"/>
                <w:highlight w:val="none"/>
              </w:rPr>
              <w:t>2</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日</w:t>
            </w:r>
          </w:p>
        </w:tc>
        <w:tc>
          <w:tcPr>
            <w:tcW w:w="727" w:type="pct"/>
            <w:vAlign w:val="center"/>
          </w:tcPr>
          <w:p w14:paraId="154F2E57">
            <w:pPr>
              <w:pStyle w:val="4"/>
              <w:spacing w:line="50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上海浦东发展股份有限公司威海分行</w:t>
            </w:r>
          </w:p>
        </w:tc>
        <w:tc>
          <w:tcPr>
            <w:tcW w:w="347" w:type="pct"/>
            <w:vAlign w:val="center"/>
          </w:tcPr>
          <w:p w14:paraId="19E24789">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00</w:t>
            </w:r>
            <w:r>
              <w:rPr>
                <w:rFonts w:hint="eastAsia" w:ascii="宋体" w:hAnsi="宋体" w:eastAsia="宋体"/>
                <w:color w:val="auto"/>
                <w:sz w:val="21"/>
                <w:szCs w:val="21"/>
                <w:highlight w:val="none"/>
              </w:rPr>
              <w:t>%</w:t>
            </w:r>
          </w:p>
        </w:tc>
        <w:tc>
          <w:tcPr>
            <w:tcW w:w="363" w:type="pct"/>
            <w:vAlign w:val="center"/>
          </w:tcPr>
          <w:p w14:paraId="461139AA">
            <w:pPr>
              <w:pStyle w:val="4"/>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42</w:t>
            </w:r>
            <w:r>
              <w:rPr>
                <w:rFonts w:hint="eastAsia" w:ascii="宋体" w:hAnsi="宋体" w:eastAsia="宋体"/>
                <w:color w:val="auto"/>
                <w:sz w:val="21"/>
                <w:szCs w:val="21"/>
                <w:highlight w:val="none"/>
              </w:rPr>
              <w:t>%</w:t>
            </w:r>
          </w:p>
        </w:tc>
        <w:tc>
          <w:tcPr>
            <w:tcW w:w="363" w:type="pct"/>
            <w:vAlign w:val="center"/>
          </w:tcPr>
          <w:p w14:paraId="731F7420">
            <w:pPr>
              <w:pStyle w:val="4"/>
              <w:spacing w:line="50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生产经营</w:t>
            </w:r>
          </w:p>
        </w:tc>
      </w:tr>
      <w:tr w14:paraId="3107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tcBorders>
              <w:bottom w:val="single" w:color="auto" w:sz="4" w:space="0"/>
            </w:tcBorders>
            <w:vAlign w:val="center"/>
          </w:tcPr>
          <w:p w14:paraId="6725F233">
            <w:pPr>
              <w:pStyle w:val="4"/>
              <w:spacing w:line="50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合计</w:t>
            </w:r>
          </w:p>
        </w:tc>
        <w:tc>
          <w:tcPr>
            <w:tcW w:w="348" w:type="pct"/>
            <w:tcBorders>
              <w:bottom w:val="single" w:color="auto" w:sz="4" w:space="0"/>
            </w:tcBorders>
            <w:vAlign w:val="center"/>
          </w:tcPr>
          <w:p w14:paraId="36D8D54B">
            <w:pPr>
              <w:pStyle w:val="4"/>
              <w:spacing w:line="50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w:t>
            </w:r>
          </w:p>
        </w:tc>
        <w:tc>
          <w:tcPr>
            <w:tcW w:w="604" w:type="pct"/>
            <w:tcBorders>
              <w:bottom w:val="single" w:color="auto" w:sz="4" w:space="0"/>
            </w:tcBorders>
            <w:vAlign w:val="center"/>
          </w:tcPr>
          <w:p w14:paraId="72A71B47">
            <w:pPr>
              <w:pStyle w:val="4"/>
              <w:spacing w:line="50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50</w:t>
            </w:r>
            <w:r>
              <w:rPr>
                <w:rFonts w:ascii="宋体" w:hAnsi="宋体" w:eastAsia="宋体"/>
                <w:color w:val="auto"/>
                <w:sz w:val="21"/>
                <w:szCs w:val="21"/>
                <w:highlight w:val="none"/>
              </w:rPr>
              <w:t>,</w:t>
            </w:r>
            <w:r>
              <w:rPr>
                <w:rFonts w:hint="eastAsia" w:ascii="宋体" w:hAnsi="宋体" w:eastAsia="宋体"/>
                <w:color w:val="auto"/>
                <w:sz w:val="21"/>
                <w:szCs w:val="21"/>
                <w:highlight w:val="none"/>
              </w:rPr>
              <w:t>000</w:t>
            </w:r>
            <w:r>
              <w:rPr>
                <w:rFonts w:ascii="宋体" w:hAnsi="宋体" w:eastAsia="宋体"/>
                <w:color w:val="auto"/>
                <w:sz w:val="21"/>
                <w:szCs w:val="21"/>
                <w:highlight w:val="none"/>
              </w:rPr>
              <w:t>,</w:t>
            </w:r>
            <w:r>
              <w:rPr>
                <w:rFonts w:hint="eastAsia" w:ascii="宋体" w:hAnsi="宋体" w:eastAsia="宋体"/>
                <w:color w:val="auto"/>
                <w:sz w:val="21"/>
                <w:szCs w:val="21"/>
                <w:highlight w:val="none"/>
              </w:rPr>
              <w:t>0</w:t>
            </w:r>
            <w:r>
              <w:rPr>
                <w:rFonts w:ascii="宋体" w:hAnsi="宋体" w:eastAsia="宋体"/>
                <w:color w:val="auto"/>
                <w:sz w:val="21"/>
                <w:szCs w:val="21"/>
                <w:highlight w:val="none"/>
              </w:rPr>
              <w:t>00</w:t>
            </w:r>
          </w:p>
        </w:tc>
        <w:tc>
          <w:tcPr>
            <w:tcW w:w="343" w:type="pct"/>
            <w:tcBorders>
              <w:bottom w:val="single" w:color="auto" w:sz="4" w:space="0"/>
            </w:tcBorders>
            <w:vAlign w:val="center"/>
          </w:tcPr>
          <w:p w14:paraId="49C33394">
            <w:pPr>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w:t>
            </w:r>
          </w:p>
        </w:tc>
        <w:tc>
          <w:tcPr>
            <w:tcW w:w="327" w:type="pct"/>
            <w:tcBorders>
              <w:bottom w:val="single" w:color="auto" w:sz="4" w:space="0"/>
            </w:tcBorders>
            <w:vAlign w:val="center"/>
          </w:tcPr>
          <w:p w14:paraId="2F4B5D80">
            <w:pPr>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w:t>
            </w:r>
          </w:p>
        </w:tc>
        <w:tc>
          <w:tcPr>
            <w:tcW w:w="455" w:type="pct"/>
            <w:tcBorders>
              <w:bottom w:val="single" w:color="auto" w:sz="4" w:space="0"/>
            </w:tcBorders>
            <w:vAlign w:val="center"/>
          </w:tcPr>
          <w:p w14:paraId="02C45C90">
            <w:pPr>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w:t>
            </w:r>
          </w:p>
        </w:tc>
        <w:tc>
          <w:tcPr>
            <w:tcW w:w="486" w:type="pct"/>
            <w:tcBorders>
              <w:bottom w:val="single" w:color="auto" w:sz="4" w:space="0"/>
            </w:tcBorders>
            <w:vAlign w:val="center"/>
          </w:tcPr>
          <w:p w14:paraId="57179623">
            <w:pPr>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w:t>
            </w:r>
          </w:p>
        </w:tc>
        <w:tc>
          <w:tcPr>
            <w:tcW w:w="727" w:type="pct"/>
            <w:tcBorders>
              <w:bottom w:val="single" w:color="auto" w:sz="4" w:space="0"/>
            </w:tcBorders>
            <w:vAlign w:val="center"/>
          </w:tcPr>
          <w:p w14:paraId="1C6E420D">
            <w:pPr>
              <w:spacing w:line="50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w:t>
            </w:r>
          </w:p>
        </w:tc>
        <w:tc>
          <w:tcPr>
            <w:tcW w:w="347" w:type="pct"/>
            <w:tcBorders>
              <w:bottom w:val="single" w:color="auto" w:sz="4" w:space="0"/>
            </w:tcBorders>
            <w:vAlign w:val="center"/>
          </w:tcPr>
          <w:p w14:paraId="46F590CD">
            <w:pPr>
              <w:pStyle w:val="4"/>
              <w:spacing w:line="50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9.00%</w:t>
            </w:r>
          </w:p>
        </w:tc>
        <w:tc>
          <w:tcPr>
            <w:tcW w:w="363" w:type="pct"/>
            <w:tcBorders>
              <w:bottom w:val="single" w:color="auto" w:sz="4" w:space="0"/>
            </w:tcBorders>
            <w:vAlign w:val="center"/>
          </w:tcPr>
          <w:p w14:paraId="42AB6A0F">
            <w:pPr>
              <w:pStyle w:val="4"/>
              <w:spacing w:line="50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3.42%</w:t>
            </w:r>
          </w:p>
        </w:tc>
        <w:tc>
          <w:tcPr>
            <w:tcW w:w="363" w:type="pct"/>
            <w:tcBorders>
              <w:bottom w:val="single" w:color="auto" w:sz="4" w:space="0"/>
            </w:tcBorders>
            <w:vAlign w:val="center"/>
          </w:tcPr>
          <w:p w14:paraId="7DB7F090">
            <w:pPr>
              <w:pStyle w:val="4"/>
              <w:spacing w:line="50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w:t>
            </w:r>
          </w:p>
        </w:tc>
      </w:tr>
    </w:tbl>
    <w:p w14:paraId="1DD8602C">
      <w:pPr>
        <w:bidi w:val="0"/>
      </w:pPr>
    </w:p>
    <w:p w14:paraId="4590F85E">
      <w:pPr>
        <w:pStyle w:val="4"/>
        <w:widowControl w:val="0"/>
        <w:numPr>
          <w:ilvl w:val="0"/>
          <w:numId w:val="0"/>
        </w:numPr>
        <w:autoSpaceDE w:val="0"/>
        <w:autoSpaceDN w:val="0"/>
        <w:adjustRightInd w:val="0"/>
        <w:spacing w:line="500" w:lineRule="exact"/>
        <w:rPr>
          <w:rFonts w:hint="eastAsia" w:ascii="宋体" w:hAnsi="宋体" w:eastAsia="宋体"/>
          <w:color w:val="auto"/>
          <w:highlight w:val="none"/>
        </w:rPr>
      </w:pPr>
    </w:p>
    <w:p w14:paraId="33497F4A">
      <w:pPr>
        <w:pStyle w:val="4"/>
        <w:widowControl w:val="0"/>
        <w:numPr>
          <w:ilvl w:val="0"/>
          <w:numId w:val="0"/>
        </w:numPr>
        <w:autoSpaceDE w:val="0"/>
        <w:autoSpaceDN w:val="0"/>
        <w:adjustRightInd w:val="0"/>
        <w:spacing w:line="500" w:lineRule="exact"/>
        <w:rPr>
          <w:rFonts w:hint="eastAsia" w:ascii="宋体" w:hAnsi="宋体" w:eastAsia="宋体"/>
          <w:color w:val="auto"/>
          <w:highlight w:val="none"/>
        </w:rPr>
      </w:pPr>
    </w:p>
    <w:p w14:paraId="031588E4">
      <w:pPr>
        <w:pStyle w:val="4"/>
        <w:widowControl w:val="0"/>
        <w:numPr>
          <w:ilvl w:val="0"/>
          <w:numId w:val="0"/>
        </w:numPr>
        <w:autoSpaceDE w:val="0"/>
        <w:autoSpaceDN w:val="0"/>
        <w:adjustRightInd w:val="0"/>
        <w:spacing w:line="50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注：上述比例均按照四舍五入保留小数，如有差异系四舍五入的尾差造成。</w:t>
      </w:r>
    </w:p>
    <w:p w14:paraId="455B1A0C">
      <w:pPr>
        <w:pStyle w:val="4"/>
        <w:widowControl w:val="0"/>
        <w:numPr>
          <w:ilvl w:val="0"/>
          <w:numId w:val="0"/>
        </w:numPr>
        <w:autoSpaceDE w:val="0"/>
        <w:autoSpaceDN w:val="0"/>
        <w:adjustRightInd w:val="0"/>
        <w:spacing w:line="50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本次质押股份未被用作重大资产重组业绩补偿等事项的担保或其他保障用途。</w:t>
      </w:r>
    </w:p>
    <w:p w14:paraId="0D2765F5">
      <w:pPr>
        <w:pStyle w:val="4"/>
        <w:widowControl w:val="0"/>
        <w:numPr>
          <w:ilvl w:val="0"/>
          <w:numId w:val="0"/>
        </w:numPr>
        <w:autoSpaceDE w:val="0"/>
        <w:autoSpaceDN w:val="0"/>
        <w:adjustRightInd w:val="0"/>
        <w:spacing w:line="500" w:lineRule="exact"/>
        <w:ind w:firstLine="480" w:firstLineChars="200"/>
        <w:rPr>
          <w:rFonts w:hint="eastAsia" w:ascii="宋体" w:hAnsi="宋体" w:eastAsia="宋体"/>
          <w:color w:val="auto"/>
          <w:highlight w:val="none"/>
        </w:rPr>
      </w:pPr>
      <w:r>
        <w:rPr>
          <w:rFonts w:hint="eastAsia" w:ascii="宋体" w:hAnsi="宋体" w:eastAsia="宋体"/>
          <w:color w:val="auto"/>
          <w:highlight w:val="none"/>
        </w:rPr>
        <w:t>（三）股东累计质押股份情况</w:t>
      </w:r>
    </w:p>
    <w:p w14:paraId="47446B83">
      <w:pPr>
        <w:pStyle w:val="4"/>
        <w:widowControl w:val="0"/>
        <w:numPr>
          <w:ilvl w:val="0"/>
          <w:numId w:val="0"/>
        </w:numPr>
        <w:autoSpaceDE w:val="0"/>
        <w:autoSpaceDN w:val="0"/>
        <w:adjustRightInd w:val="0"/>
        <w:spacing w:line="500" w:lineRule="exact"/>
        <w:ind w:firstLine="480" w:firstLineChars="200"/>
        <w:rPr>
          <w:rFonts w:hint="eastAsia" w:ascii="宋体" w:hAnsi="宋体" w:eastAsia="宋体"/>
          <w:color w:val="auto"/>
          <w:highlight w:val="none"/>
        </w:rPr>
      </w:pPr>
      <w:r>
        <w:rPr>
          <w:rFonts w:hint="eastAsia" w:ascii="宋体" w:hAnsi="宋体" w:eastAsia="宋体"/>
          <w:color w:val="auto"/>
          <w:highlight w:val="none"/>
        </w:rPr>
        <w:t>截至本公告披露日，好当家集团累计质押股份情况如下：</w:t>
      </w:r>
    </w:p>
    <w:tbl>
      <w:tblPr>
        <w:tblStyle w:val="2"/>
        <w:tblpPr w:leftFromText="180" w:rightFromText="180" w:vertAnchor="text" w:horzAnchor="margin" w:tblpXSpec="center" w:tblpY="1025"/>
        <w:tblW w:w="11004"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146"/>
        <w:gridCol w:w="730"/>
        <w:gridCol w:w="1091"/>
        <w:gridCol w:w="1059"/>
        <w:gridCol w:w="701"/>
        <w:gridCol w:w="676"/>
        <w:gridCol w:w="993"/>
        <w:gridCol w:w="971"/>
        <w:gridCol w:w="1025"/>
        <w:gridCol w:w="999"/>
      </w:tblGrid>
      <w:tr w14:paraId="7703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vMerge w:val="restart"/>
            <w:vAlign w:val="center"/>
          </w:tcPr>
          <w:p w14:paraId="41EDEFF5">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股东名称</w:t>
            </w:r>
          </w:p>
        </w:tc>
        <w:tc>
          <w:tcPr>
            <w:tcW w:w="1146" w:type="dxa"/>
            <w:vMerge w:val="restart"/>
            <w:vAlign w:val="center"/>
          </w:tcPr>
          <w:p w14:paraId="601B6843">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持股数量（股）</w:t>
            </w:r>
          </w:p>
        </w:tc>
        <w:tc>
          <w:tcPr>
            <w:tcW w:w="730" w:type="dxa"/>
            <w:vMerge w:val="restart"/>
            <w:vAlign w:val="center"/>
          </w:tcPr>
          <w:p w14:paraId="167BBF83">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持股比例</w:t>
            </w:r>
          </w:p>
        </w:tc>
        <w:tc>
          <w:tcPr>
            <w:tcW w:w="1091" w:type="dxa"/>
            <w:vMerge w:val="restart"/>
            <w:vAlign w:val="center"/>
          </w:tcPr>
          <w:p w14:paraId="246ED105">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本次质押前累计质押数量</w:t>
            </w:r>
          </w:p>
        </w:tc>
        <w:tc>
          <w:tcPr>
            <w:tcW w:w="1059" w:type="dxa"/>
            <w:vMerge w:val="restart"/>
            <w:vAlign w:val="center"/>
          </w:tcPr>
          <w:p w14:paraId="4A556AC8">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本次质押后累计质押数量</w:t>
            </w:r>
          </w:p>
        </w:tc>
        <w:tc>
          <w:tcPr>
            <w:tcW w:w="701" w:type="dxa"/>
            <w:vMerge w:val="restart"/>
            <w:vAlign w:val="center"/>
          </w:tcPr>
          <w:p w14:paraId="49EE5CD0">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占其所持股份比例</w:t>
            </w:r>
          </w:p>
        </w:tc>
        <w:tc>
          <w:tcPr>
            <w:tcW w:w="676" w:type="dxa"/>
            <w:vMerge w:val="restart"/>
            <w:vAlign w:val="center"/>
          </w:tcPr>
          <w:p w14:paraId="586B6F74">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占公司总股本比例</w:t>
            </w:r>
          </w:p>
        </w:tc>
        <w:tc>
          <w:tcPr>
            <w:tcW w:w="1964" w:type="dxa"/>
            <w:gridSpan w:val="2"/>
            <w:vAlign w:val="center"/>
          </w:tcPr>
          <w:p w14:paraId="2C9F9174">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已质押股份情况</w:t>
            </w:r>
          </w:p>
        </w:tc>
        <w:tc>
          <w:tcPr>
            <w:tcW w:w="2024" w:type="dxa"/>
            <w:gridSpan w:val="2"/>
            <w:vAlign w:val="center"/>
          </w:tcPr>
          <w:p w14:paraId="009BE098">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未质押股份情况</w:t>
            </w:r>
          </w:p>
        </w:tc>
      </w:tr>
      <w:tr w14:paraId="79CF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613" w:type="dxa"/>
            <w:vMerge w:val="continue"/>
            <w:vAlign w:val="center"/>
          </w:tcPr>
          <w:p w14:paraId="66B67531">
            <w:pPr>
              <w:pStyle w:val="4"/>
              <w:spacing w:line="500" w:lineRule="exact"/>
              <w:jc w:val="center"/>
              <w:rPr>
                <w:rFonts w:hint="eastAsia" w:ascii="宋体" w:hAnsi="宋体" w:eastAsia="宋体"/>
                <w:color w:val="auto"/>
                <w:sz w:val="15"/>
                <w:szCs w:val="15"/>
              </w:rPr>
            </w:pPr>
          </w:p>
        </w:tc>
        <w:tc>
          <w:tcPr>
            <w:tcW w:w="1146" w:type="dxa"/>
            <w:vMerge w:val="continue"/>
            <w:vAlign w:val="center"/>
          </w:tcPr>
          <w:p w14:paraId="00BAD569">
            <w:pPr>
              <w:pStyle w:val="4"/>
              <w:spacing w:line="500" w:lineRule="exact"/>
              <w:jc w:val="center"/>
              <w:rPr>
                <w:rFonts w:hint="eastAsia" w:ascii="宋体" w:hAnsi="宋体" w:eastAsia="宋体"/>
                <w:color w:val="auto"/>
                <w:sz w:val="15"/>
                <w:szCs w:val="15"/>
              </w:rPr>
            </w:pPr>
          </w:p>
        </w:tc>
        <w:tc>
          <w:tcPr>
            <w:tcW w:w="730" w:type="dxa"/>
            <w:vMerge w:val="continue"/>
            <w:vAlign w:val="center"/>
          </w:tcPr>
          <w:p w14:paraId="1A99D33F">
            <w:pPr>
              <w:pStyle w:val="4"/>
              <w:spacing w:line="500" w:lineRule="exact"/>
              <w:jc w:val="center"/>
              <w:rPr>
                <w:rFonts w:hint="eastAsia" w:ascii="宋体" w:hAnsi="宋体" w:eastAsia="宋体"/>
                <w:color w:val="auto"/>
                <w:sz w:val="15"/>
                <w:szCs w:val="15"/>
              </w:rPr>
            </w:pPr>
          </w:p>
        </w:tc>
        <w:tc>
          <w:tcPr>
            <w:tcW w:w="1091" w:type="dxa"/>
            <w:vMerge w:val="continue"/>
            <w:vAlign w:val="center"/>
          </w:tcPr>
          <w:p w14:paraId="1A49D0E9">
            <w:pPr>
              <w:pStyle w:val="4"/>
              <w:spacing w:line="500" w:lineRule="exact"/>
              <w:jc w:val="center"/>
              <w:rPr>
                <w:rFonts w:hint="eastAsia" w:ascii="宋体" w:hAnsi="宋体" w:eastAsia="宋体"/>
                <w:color w:val="auto"/>
                <w:sz w:val="15"/>
                <w:szCs w:val="15"/>
              </w:rPr>
            </w:pPr>
          </w:p>
        </w:tc>
        <w:tc>
          <w:tcPr>
            <w:tcW w:w="1059" w:type="dxa"/>
            <w:vMerge w:val="continue"/>
            <w:vAlign w:val="center"/>
          </w:tcPr>
          <w:p w14:paraId="1CE04264">
            <w:pPr>
              <w:pStyle w:val="4"/>
              <w:spacing w:line="500" w:lineRule="exact"/>
              <w:jc w:val="center"/>
              <w:rPr>
                <w:rFonts w:hint="eastAsia" w:ascii="宋体" w:hAnsi="宋体" w:eastAsia="宋体"/>
                <w:color w:val="auto"/>
                <w:sz w:val="15"/>
                <w:szCs w:val="15"/>
              </w:rPr>
            </w:pPr>
          </w:p>
        </w:tc>
        <w:tc>
          <w:tcPr>
            <w:tcW w:w="701" w:type="dxa"/>
            <w:vMerge w:val="continue"/>
            <w:vAlign w:val="center"/>
          </w:tcPr>
          <w:p w14:paraId="625FB9F3">
            <w:pPr>
              <w:pStyle w:val="4"/>
              <w:spacing w:line="500" w:lineRule="exact"/>
              <w:jc w:val="center"/>
              <w:rPr>
                <w:rFonts w:hint="eastAsia" w:ascii="宋体" w:hAnsi="宋体" w:eastAsia="宋体"/>
                <w:color w:val="auto"/>
                <w:sz w:val="15"/>
                <w:szCs w:val="15"/>
              </w:rPr>
            </w:pPr>
          </w:p>
        </w:tc>
        <w:tc>
          <w:tcPr>
            <w:tcW w:w="676" w:type="dxa"/>
            <w:vMerge w:val="continue"/>
            <w:vAlign w:val="center"/>
          </w:tcPr>
          <w:p w14:paraId="0D6D89A4">
            <w:pPr>
              <w:pStyle w:val="4"/>
              <w:spacing w:line="500" w:lineRule="exact"/>
              <w:jc w:val="center"/>
              <w:rPr>
                <w:rFonts w:hint="eastAsia" w:ascii="宋体" w:hAnsi="宋体" w:eastAsia="宋体"/>
                <w:color w:val="auto"/>
                <w:sz w:val="15"/>
                <w:szCs w:val="15"/>
              </w:rPr>
            </w:pPr>
          </w:p>
        </w:tc>
        <w:tc>
          <w:tcPr>
            <w:tcW w:w="993" w:type="dxa"/>
            <w:vAlign w:val="center"/>
          </w:tcPr>
          <w:p w14:paraId="3E461904">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已质押股份中限售股份数量（股）</w:t>
            </w:r>
          </w:p>
        </w:tc>
        <w:tc>
          <w:tcPr>
            <w:tcW w:w="971" w:type="dxa"/>
            <w:vAlign w:val="center"/>
          </w:tcPr>
          <w:p w14:paraId="223A9063">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已质押股份中冻结股份数量（股）</w:t>
            </w:r>
          </w:p>
        </w:tc>
        <w:tc>
          <w:tcPr>
            <w:tcW w:w="1025" w:type="dxa"/>
            <w:vAlign w:val="center"/>
          </w:tcPr>
          <w:p w14:paraId="3BC1E8F4">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未质押股份中限售股份数量（股）</w:t>
            </w:r>
          </w:p>
        </w:tc>
        <w:tc>
          <w:tcPr>
            <w:tcW w:w="999" w:type="dxa"/>
          </w:tcPr>
          <w:p w14:paraId="19129AF4">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未质押股份中冻结股份数量（股）</w:t>
            </w:r>
          </w:p>
        </w:tc>
      </w:tr>
      <w:tr w14:paraId="03C5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tcPr>
          <w:p w14:paraId="21AE9CC8">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好当家集团有限公司</w:t>
            </w:r>
          </w:p>
        </w:tc>
        <w:tc>
          <w:tcPr>
            <w:tcW w:w="1146" w:type="dxa"/>
          </w:tcPr>
          <w:p w14:paraId="42C17069">
            <w:pPr>
              <w:pStyle w:val="4"/>
              <w:spacing w:line="500" w:lineRule="exact"/>
              <w:jc w:val="center"/>
              <w:rPr>
                <w:rFonts w:hint="eastAsia" w:ascii="宋体" w:hAnsi="宋体" w:eastAsia="宋体"/>
                <w:color w:val="auto"/>
                <w:sz w:val="15"/>
                <w:szCs w:val="15"/>
                <w:highlight w:val="none"/>
              </w:rPr>
            </w:pP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55</w:t>
            </w:r>
            <w:r>
              <w:rPr>
                <w:rFonts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550</w:t>
            </w:r>
            <w:r>
              <w:rPr>
                <w:rFonts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9</w:t>
            </w:r>
            <w:r>
              <w:rPr>
                <w:rFonts w:hint="eastAsia" w:ascii="宋体" w:hAnsi="宋体" w:eastAsia="宋体"/>
                <w:color w:val="auto"/>
                <w:sz w:val="15"/>
                <w:szCs w:val="15"/>
                <w:highlight w:val="none"/>
              </w:rPr>
              <w:t>90</w:t>
            </w:r>
          </w:p>
        </w:tc>
        <w:tc>
          <w:tcPr>
            <w:tcW w:w="730" w:type="dxa"/>
          </w:tcPr>
          <w:p w14:paraId="12023820">
            <w:pPr>
              <w:pStyle w:val="4"/>
              <w:spacing w:line="500" w:lineRule="exact"/>
              <w:jc w:val="center"/>
              <w:rPr>
                <w:rFonts w:hint="eastAsia" w:ascii="宋体" w:hAnsi="宋体" w:eastAsia="宋体"/>
                <w:color w:val="auto"/>
                <w:sz w:val="15"/>
                <w:szCs w:val="15"/>
                <w:highlight w:val="none"/>
              </w:rPr>
            </w:pPr>
            <w:r>
              <w:rPr>
                <w:rFonts w:ascii="宋体" w:hAnsi="宋体" w:eastAsia="宋体"/>
                <w:color w:val="auto"/>
                <w:sz w:val="15"/>
                <w:szCs w:val="15"/>
                <w:highlight w:val="none"/>
              </w:rPr>
              <w:t>3</w:t>
            </w:r>
            <w:r>
              <w:rPr>
                <w:rFonts w:hint="eastAsia" w:ascii="宋体" w:hAnsi="宋体" w:eastAsia="宋体"/>
                <w:color w:val="auto"/>
                <w:sz w:val="15"/>
                <w:szCs w:val="15"/>
                <w:highlight w:val="none"/>
                <w:lang w:val="en-US" w:eastAsia="zh-CN"/>
              </w:rPr>
              <w:t>8</w:t>
            </w:r>
            <w:r>
              <w:rPr>
                <w:rFonts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03</w:t>
            </w:r>
            <w:r>
              <w:rPr>
                <w:rFonts w:hint="eastAsia" w:ascii="宋体" w:hAnsi="宋体" w:eastAsia="宋体"/>
                <w:color w:val="auto"/>
                <w:sz w:val="15"/>
                <w:szCs w:val="15"/>
                <w:highlight w:val="none"/>
              </w:rPr>
              <w:t>%</w:t>
            </w:r>
          </w:p>
        </w:tc>
        <w:tc>
          <w:tcPr>
            <w:tcW w:w="1091" w:type="dxa"/>
          </w:tcPr>
          <w:p w14:paraId="7A2FDE24">
            <w:pPr>
              <w:pStyle w:val="4"/>
              <w:spacing w:line="500"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3</w:t>
            </w:r>
            <w:r>
              <w:rPr>
                <w:rFonts w:hint="eastAsia" w:ascii="宋体" w:hAnsi="宋体" w:eastAsia="宋体"/>
                <w:color w:val="auto"/>
                <w:sz w:val="15"/>
                <w:szCs w:val="15"/>
                <w:highlight w:val="none"/>
                <w:lang w:val="en-US" w:eastAsia="zh-CN"/>
              </w:rPr>
              <w:t>12</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41,400</w:t>
            </w:r>
          </w:p>
        </w:tc>
        <w:tc>
          <w:tcPr>
            <w:tcW w:w="1059" w:type="dxa"/>
          </w:tcPr>
          <w:p w14:paraId="196A05F7">
            <w:pPr>
              <w:pStyle w:val="4"/>
              <w:spacing w:line="500"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3</w:t>
            </w:r>
            <w:r>
              <w:rPr>
                <w:rFonts w:hint="eastAsia" w:ascii="宋体" w:hAnsi="宋体" w:eastAsia="宋体"/>
                <w:color w:val="auto"/>
                <w:sz w:val="15"/>
                <w:szCs w:val="15"/>
                <w:highlight w:val="none"/>
                <w:lang w:val="en-US" w:eastAsia="zh-CN"/>
              </w:rPr>
              <w:t>62</w:t>
            </w:r>
            <w:r>
              <w:rPr>
                <w:rFonts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41</w:t>
            </w:r>
            <w:r>
              <w:rPr>
                <w:rFonts w:ascii="宋体" w:hAnsi="宋体" w:eastAsia="宋体"/>
                <w:color w:val="auto"/>
                <w:sz w:val="15"/>
                <w:szCs w:val="15"/>
                <w:highlight w:val="none"/>
              </w:rPr>
              <w:t>,</w:t>
            </w:r>
            <w:r>
              <w:rPr>
                <w:rFonts w:hint="eastAsia" w:ascii="宋体" w:hAnsi="宋体" w:eastAsia="宋体"/>
                <w:color w:val="auto"/>
                <w:sz w:val="15"/>
                <w:szCs w:val="15"/>
                <w:highlight w:val="none"/>
              </w:rPr>
              <w:t>400</w:t>
            </w:r>
          </w:p>
        </w:tc>
        <w:tc>
          <w:tcPr>
            <w:tcW w:w="701" w:type="dxa"/>
          </w:tcPr>
          <w:p w14:paraId="13738403">
            <w:pPr>
              <w:pStyle w:val="4"/>
              <w:spacing w:line="500"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26</w:t>
            </w:r>
            <w:r>
              <w:rPr>
                <w:rFonts w:ascii="宋体" w:hAnsi="宋体" w:eastAsia="宋体"/>
                <w:color w:val="auto"/>
                <w:sz w:val="15"/>
                <w:szCs w:val="15"/>
                <w:highlight w:val="none"/>
              </w:rPr>
              <w:t>%</w:t>
            </w:r>
          </w:p>
        </w:tc>
        <w:tc>
          <w:tcPr>
            <w:tcW w:w="676" w:type="dxa"/>
          </w:tcPr>
          <w:p w14:paraId="519C322B">
            <w:pPr>
              <w:pStyle w:val="4"/>
              <w:spacing w:line="500"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81</w:t>
            </w:r>
            <w:r>
              <w:rPr>
                <w:rFonts w:ascii="宋体" w:hAnsi="宋体" w:eastAsia="宋体"/>
                <w:color w:val="auto"/>
                <w:sz w:val="15"/>
                <w:szCs w:val="15"/>
                <w:highlight w:val="none"/>
              </w:rPr>
              <w:t>%</w:t>
            </w:r>
          </w:p>
        </w:tc>
        <w:tc>
          <w:tcPr>
            <w:tcW w:w="993" w:type="dxa"/>
          </w:tcPr>
          <w:p w14:paraId="703D759B">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0</w:t>
            </w:r>
          </w:p>
        </w:tc>
        <w:tc>
          <w:tcPr>
            <w:tcW w:w="971" w:type="dxa"/>
          </w:tcPr>
          <w:p w14:paraId="00D5C149">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0</w:t>
            </w:r>
          </w:p>
        </w:tc>
        <w:tc>
          <w:tcPr>
            <w:tcW w:w="1025" w:type="dxa"/>
          </w:tcPr>
          <w:p w14:paraId="2364B84E">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0</w:t>
            </w:r>
          </w:p>
        </w:tc>
        <w:tc>
          <w:tcPr>
            <w:tcW w:w="999" w:type="dxa"/>
          </w:tcPr>
          <w:p w14:paraId="69FF574F">
            <w:pPr>
              <w:pStyle w:val="4"/>
              <w:spacing w:line="500" w:lineRule="exact"/>
              <w:jc w:val="center"/>
              <w:rPr>
                <w:rFonts w:hint="eastAsia" w:ascii="宋体" w:hAnsi="宋体" w:eastAsia="宋体"/>
                <w:color w:val="auto"/>
                <w:sz w:val="15"/>
                <w:szCs w:val="15"/>
              </w:rPr>
            </w:pPr>
            <w:r>
              <w:rPr>
                <w:rFonts w:hint="eastAsia" w:ascii="宋体" w:hAnsi="宋体" w:eastAsia="宋体"/>
                <w:color w:val="auto"/>
                <w:sz w:val="15"/>
                <w:szCs w:val="15"/>
              </w:rPr>
              <w:t>0</w:t>
            </w:r>
          </w:p>
        </w:tc>
      </w:tr>
    </w:tbl>
    <w:p w14:paraId="1E8D8A77">
      <w:pPr>
        <w:pStyle w:val="4"/>
        <w:widowControl w:val="0"/>
        <w:numPr>
          <w:ilvl w:val="0"/>
          <w:numId w:val="0"/>
        </w:numPr>
        <w:autoSpaceDE w:val="0"/>
        <w:autoSpaceDN w:val="0"/>
        <w:adjustRightInd w:val="0"/>
        <w:spacing w:line="500" w:lineRule="exact"/>
        <w:ind w:firstLine="480" w:firstLineChars="200"/>
        <w:rPr>
          <w:rFonts w:hint="eastAsia" w:ascii="宋体" w:hAnsi="宋体" w:eastAsia="宋体"/>
          <w:color w:val="auto"/>
          <w:highlight w:val="none"/>
        </w:rPr>
      </w:pPr>
    </w:p>
    <w:p w14:paraId="219B385C">
      <w:pPr>
        <w:pStyle w:val="4"/>
        <w:widowControl w:val="0"/>
        <w:numPr>
          <w:ilvl w:val="0"/>
          <w:numId w:val="0"/>
        </w:numPr>
        <w:autoSpaceDE w:val="0"/>
        <w:autoSpaceDN w:val="0"/>
        <w:adjustRightInd w:val="0"/>
        <w:spacing w:line="500" w:lineRule="exact"/>
        <w:ind w:firstLine="480" w:firstLineChars="200"/>
        <w:rPr>
          <w:rFonts w:hint="eastAsia" w:ascii="宋体" w:hAnsi="宋体" w:eastAsia="宋体"/>
          <w:color w:val="auto"/>
          <w:highlight w:val="none"/>
        </w:rPr>
      </w:pPr>
    </w:p>
    <w:p w14:paraId="67165B52">
      <w:pPr>
        <w:pStyle w:val="4"/>
        <w:widowControl w:val="0"/>
        <w:numPr>
          <w:ilvl w:val="0"/>
          <w:numId w:val="0"/>
        </w:numPr>
        <w:autoSpaceDE w:val="0"/>
        <w:autoSpaceDN w:val="0"/>
        <w:adjustRightInd w:val="0"/>
        <w:spacing w:line="50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注：上述比例均按照四舍五入保留小数，如有差异系四舍五入的尾差造成。</w:t>
      </w:r>
    </w:p>
    <w:p w14:paraId="086889BC">
      <w:pPr>
        <w:pStyle w:val="4"/>
        <w:widowControl w:val="0"/>
        <w:numPr>
          <w:ilvl w:val="0"/>
          <w:numId w:val="0"/>
        </w:numPr>
        <w:autoSpaceDE w:val="0"/>
        <w:autoSpaceDN w:val="0"/>
        <w:adjustRightInd w:val="0"/>
        <w:spacing w:line="500" w:lineRule="exact"/>
        <w:ind w:left="240" w:leftChars="0"/>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二、</w:t>
      </w:r>
      <w:r>
        <w:rPr>
          <w:rFonts w:hint="default" w:ascii="宋体" w:hAnsi="宋体" w:eastAsia="宋体"/>
          <w:b/>
          <w:bCs/>
          <w:color w:val="auto"/>
          <w:highlight w:val="none"/>
          <w:lang w:val="en-US" w:eastAsia="zh-CN"/>
        </w:rPr>
        <w:t>好当家集团预计未来一年内到期的质押股份情况</w:t>
      </w:r>
    </w:p>
    <w:p w14:paraId="72962010">
      <w:pPr>
        <w:pStyle w:val="4"/>
        <w:widowControl w:val="0"/>
        <w:numPr>
          <w:ilvl w:val="0"/>
          <w:numId w:val="0"/>
        </w:numPr>
        <w:autoSpaceDE w:val="0"/>
        <w:autoSpaceDN w:val="0"/>
        <w:adjustRightInd w:val="0"/>
        <w:spacing w:line="500" w:lineRule="exact"/>
        <w:ind w:left="240" w:leftChars="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1、好当家集团未来半年到期的质押股份数量为</w:t>
      </w:r>
      <w:r>
        <w:rPr>
          <w:rFonts w:hint="eastAsia" w:ascii="宋体" w:hAnsi="宋体" w:eastAsia="宋体"/>
          <w:color w:val="auto"/>
          <w:highlight w:val="none"/>
          <w:lang w:val="en-US" w:eastAsia="zh-CN"/>
        </w:rPr>
        <w:t>5</w:t>
      </w:r>
      <w:r>
        <w:rPr>
          <w:rFonts w:hint="default" w:ascii="宋体" w:hAnsi="宋体" w:eastAsia="宋体"/>
          <w:color w:val="auto"/>
          <w:highlight w:val="none"/>
          <w:lang w:val="en-US" w:eastAsia="zh-CN"/>
        </w:rPr>
        <w:t>5,100,000股，占其所持股份比例</w:t>
      </w:r>
      <w:r>
        <w:rPr>
          <w:rFonts w:hint="eastAsia" w:ascii="宋体" w:hAnsi="宋体" w:eastAsia="宋体"/>
          <w:color w:val="auto"/>
          <w:highlight w:val="none"/>
          <w:lang w:val="en-US" w:eastAsia="zh-CN"/>
        </w:rPr>
        <w:t>9</w:t>
      </w:r>
      <w:r>
        <w:rPr>
          <w:rFonts w:hint="default" w:ascii="宋体" w:hAnsi="宋体" w:eastAsia="宋体"/>
          <w:color w:val="auto"/>
          <w:highlight w:val="none"/>
          <w:lang w:val="en-US" w:eastAsia="zh-CN"/>
        </w:rPr>
        <w:t>.92%，占公司总股本比例</w:t>
      </w:r>
      <w:r>
        <w:rPr>
          <w:rFonts w:hint="eastAsia" w:ascii="宋体" w:hAnsi="宋体" w:eastAsia="宋体"/>
          <w:color w:val="auto"/>
          <w:highlight w:val="none"/>
          <w:lang w:val="en-US" w:eastAsia="zh-CN"/>
        </w:rPr>
        <w:t>3</w:t>
      </w:r>
      <w:r>
        <w:rPr>
          <w:rFonts w:hint="default" w:ascii="宋体" w:hAnsi="宋体" w:eastAsia="宋体"/>
          <w:color w:val="auto"/>
          <w:highlight w:val="none"/>
          <w:lang w:val="en-US" w:eastAsia="zh-CN"/>
        </w:rPr>
        <w:t>.</w:t>
      </w:r>
      <w:r>
        <w:rPr>
          <w:rFonts w:hint="eastAsia" w:ascii="宋体" w:hAnsi="宋体" w:eastAsia="宋体"/>
          <w:color w:val="auto"/>
          <w:highlight w:val="none"/>
          <w:lang w:val="en-US" w:eastAsia="zh-CN"/>
        </w:rPr>
        <w:t>77</w:t>
      </w:r>
      <w:r>
        <w:rPr>
          <w:rFonts w:hint="default" w:ascii="宋体" w:hAnsi="宋体" w:eastAsia="宋体"/>
          <w:color w:val="auto"/>
          <w:highlight w:val="none"/>
          <w:lang w:val="en-US" w:eastAsia="zh-CN"/>
        </w:rPr>
        <w:t>%，对应融资余额为</w:t>
      </w:r>
      <w:r>
        <w:rPr>
          <w:rFonts w:hint="eastAsia" w:ascii="宋体" w:hAnsi="宋体" w:eastAsia="宋体"/>
          <w:color w:val="auto"/>
          <w:highlight w:val="none"/>
          <w:lang w:val="en-US" w:eastAsia="zh-CN"/>
        </w:rPr>
        <w:t>7</w:t>
      </w:r>
      <w:r>
        <w:rPr>
          <w:rFonts w:hint="default" w:ascii="宋体" w:hAnsi="宋体" w:eastAsia="宋体"/>
          <w:color w:val="auto"/>
          <w:highlight w:val="none"/>
          <w:lang w:val="en-US" w:eastAsia="zh-CN"/>
        </w:rPr>
        <w:t>,</w:t>
      </w:r>
      <w:r>
        <w:rPr>
          <w:rFonts w:hint="eastAsia" w:ascii="宋体" w:hAnsi="宋体" w:eastAsia="宋体"/>
          <w:color w:val="auto"/>
          <w:highlight w:val="none"/>
          <w:lang w:val="en-US" w:eastAsia="zh-CN"/>
        </w:rPr>
        <w:t>1</w:t>
      </w:r>
      <w:r>
        <w:rPr>
          <w:rFonts w:hint="default" w:ascii="宋体" w:hAnsi="宋体" w:eastAsia="宋体"/>
          <w:color w:val="auto"/>
          <w:highlight w:val="none"/>
          <w:lang w:val="en-US" w:eastAsia="zh-CN"/>
        </w:rPr>
        <w:t>00万元；未来一年内到期的质押股份数量为</w:t>
      </w:r>
      <w:r>
        <w:rPr>
          <w:rFonts w:hint="eastAsia" w:ascii="宋体" w:hAnsi="宋体" w:eastAsia="宋体"/>
          <w:color w:val="auto"/>
          <w:highlight w:val="none"/>
          <w:lang w:val="en-US" w:eastAsia="zh-CN"/>
        </w:rPr>
        <w:t>18</w:t>
      </w:r>
      <w:r>
        <w:rPr>
          <w:rFonts w:hint="default" w:ascii="宋体" w:hAnsi="宋体" w:eastAsia="宋体"/>
          <w:color w:val="auto"/>
          <w:highlight w:val="none"/>
          <w:lang w:val="en-US" w:eastAsia="zh-CN"/>
        </w:rPr>
        <w:t>7,100,000股，占其所持股份比例</w:t>
      </w:r>
      <w:r>
        <w:rPr>
          <w:rFonts w:hint="eastAsia" w:ascii="宋体" w:hAnsi="宋体" w:eastAsia="宋体"/>
          <w:color w:val="auto"/>
          <w:highlight w:val="none"/>
          <w:lang w:val="en-US" w:eastAsia="zh-CN"/>
        </w:rPr>
        <w:t>33</w:t>
      </w:r>
      <w:r>
        <w:rPr>
          <w:rFonts w:hint="default" w:ascii="宋体" w:hAnsi="宋体" w:eastAsia="宋体"/>
          <w:color w:val="auto"/>
          <w:highlight w:val="none"/>
          <w:lang w:val="en-US" w:eastAsia="zh-CN"/>
        </w:rPr>
        <w:t>.68%，占公司总股本比例1</w:t>
      </w:r>
      <w:r>
        <w:rPr>
          <w:rFonts w:hint="eastAsia" w:ascii="宋体" w:hAnsi="宋体" w:eastAsia="宋体"/>
          <w:color w:val="auto"/>
          <w:highlight w:val="none"/>
          <w:lang w:val="en-US" w:eastAsia="zh-CN"/>
        </w:rPr>
        <w:t>2</w:t>
      </w:r>
      <w:r>
        <w:rPr>
          <w:rFonts w:hint="default" w:ascii="宋体" w:hAnsi="宋体" w:eastAsia="宋体"/>
          <w:color w:val="auto"/>
          <w:highlight w:val="none"/>
          <w:lang w:val="en-US" w:eastAsia="zh-CN"/>
        </w:rPr>
        <w:t>.</w:t>
      </w:r>
      <w:r>
        <w:rPr>
          <w:rFonts w:hint="eastAsia" w:ascii="宋体" w:hAnsi="宋体" w:eastAsia="宋体"/>
          <w:color w:val="auto"/>
          <w:highlight w:val="none"/>
          <w:lang w:val="en-US" w:eastAsia="zh-CN"/>
        </w:rPr>
        <w:t>81</w:t>
      </w:r>
      <w:r>
        <w:rPr>
          <w:rFonts w:hint="default" w:ascii="宋体" w:hAnsi="宋体" w:eastAsia="宋体"/>
          <w:color w:val="auto"/>
          <w:highlight w:val="none"/>
          <w:lang w:val="en-US" w:eastAsia="zh-CN"/>
        </w:rPr>
        <w:t>%，对应融资余额为2</w:t>
      </w:r>
      <w:r>
        <w:rPr>
          <w:rFonts w:hint="eastAsia" w:ascii="宋体" w:hAnsi="宋体" w:eastAsia="宋体"/>
          <w:color w:val="auto"/>
          <w:highlight w:val="none"/>
          <w:lang w:val="en-US" w:eastAsia="zh-CN"/>
        </w:rPr>
        <w:t>4</w:t>
      </w:r>
      <w:r>
        <w:rPr>
          <w:rFonts w:hint="default" w:ascii="宋体" w:hAnsi="宋体" w:eastAsia="宋体"/>
          <w:color w:val="auto"/>
          <w:highlight w:val="none"/>
          <w:lang w:val="en-US" w:eastAsia="zh-CN"/>
        </w:rPr>
        <w:t>,</w:t>
      </w:r>
      <w:r>
        <w:rPr>
          <w:rFonts w:hint="eastAsia" w:ascii="宋体" w:hAnsi="宋体" w:eastAsia="宋体"/>
          <w:color w:val="auto"/>
          <w:highlight w:val="none"/>
          <w:lang w:val="en-US" w:eastAsia="zh-CN"/>
        </w:rPr>
        <w:t>1</w:t>
      </w:r>
      <w:bookmarkStart w:id="0" w:name="_GoBack"/>
      <w:bookmarkEnd w:id="0"/>
      <w:r>
        <w:rPr>
          <w:rFonts w:hint="default" w:ascii="宋体" w:hAnsi="宋体" w:eastAsia="宋体"/>
          <w:color w:val="auto"/>
          <w:highlight w:val="none"/>
          <w:lang w:val="en-US" w:eastAsia="zh-CN"/>
        </w:rPr>
        <w:t>00万元。</w:t>
      </w:r>
    </w:p>
    <w:p w14:paraId="1FDAEC6D">
      <w:pPr>
        <w:pStyle w:val="4"/>
        <w:widowControl w:val="0"/>
        <w:numPr>
          <w:ilvl w:val="0"/>
          <w:numId w:val="0"/>
        </w:numPr>
        <w:autoSpaceDE w:val="0"/>
        <w:autoSpaceDN w:val="0"/>
        <w:adjustRightInd w:val="0"/>
        <w:spacing w:line="500" w:lineRule="exact"/>
        <w:ind w:left="240" w:leftChars="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2、好当家集团资信状况良好，具备资金偿还能力，本次质押风险可控，到期后好当家集团以自有资金偿还，不会导致公司实际控制权发生变更。</w:t>
      </w:r>
    </w:p>
    <w:p w14:paraId="428D321C">
      <w:pPr>
        <w:pStyle w:val="4"/>
        <w:widowControl w:val="0"/>
        <w:numPr>
          <w:ilvl w:val="0"/>
          <w:numId w:val="0"/>
        </w:numPr>
        <w:autoSpaceDE w:val="0"/>
        <w:autoSpaceDN w:val="0"/>
        <w:adjustRightInd w:val="0"/>
        <w:spacing w:line="500" w:lineRule="exact"/>
        <w:ind w:left="240" w:leftChars="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3、好当家集团不存在通过非经营性资金占用、违规担保、关联交易等侵害上市公司利益的情况。</w:t>
      </w:r>
    </w:p>
    <w:p w14:paraId="06BAF3CE">
      <w:pPr>
        <w:pStyle w:val="4"/>
        <w:widowControl w:val="0"/>
        <w:numPr>
          <w:ilvl w:val="0"/>
          <w:numId w:val="0"/>
        </w:numPr>
        <w:autoSpaceDE w:val="0"/>
        <w:autoSpaceDN w:val="0"/>
        <w:adjustRightInd w:val="0"/>
        <w:spacing w:line="500" w:lineRule="exact"/>
        <w:ind w:left="240" w:leftChars="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4、好当家集团股票质押对上市公司的影响</w:t>
      </w:r>
    </w:p>
    <w:p w14:paraId="377267BB">
      <w:pPr>
        <w:pStyle w:val="4"/>
        <w:widowControl w:val="0"/>
        <w:numPr>
          <w:ilvl w:val="0"/>
          <w:numId w:val="0"/>
        </w:numPr>
        <w:autoSpaceDE w:val="0"/>
        <w:autoSpaceDN w:val="0"/>
        <w:adjustRightInd w:val="0"/>
        <w:spacing w:line="500" w:lineRule="exact"/>
        <w:ind w:left="240" w:leftChars="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好当家集团股票质押不会对公司主营业务、融资授信及融资成本、持续经营能力产生重大影响；不会对股东向上市公司委派董事席位、上市公司的独立性产生重大影响，不会对公司控制权稳定、股权结构、日常管理产生重大影响；本次质押股份不会对其履行业绩补偿义务的能力产生重大影响。</w:t>
      </w:r>
    </w:p>
    <w:p w14:paraId="0E12D9D3">
      <w:pPr>
        <w:pStyle w:val="4"/>
        <w:widowControl w:val="0"/>
        <w:numPr>
          <w:ilvl w:val="0"/>
          <w:numId w:val="0"/>
        </w:numPr>
        <w:autoSpaceDE w:val="0"/>
        <w:autoSpaceDN w:val="0"/>
        <w:adjustRightInd w:val="0"/>
        <w:spacing w:line="500" w:lineRule="exact"/>
        <w:ind w:left="240" w:leftChars="0"/>
        <w:rPr>
          <w:rFonts w:hint="default" w:ascii="宋体" w:hAnsi="宋体" w:eastAsia="宋体"/>
          <w:color w:val="auto"/>
          <w:highlight w:val="none"/>
          <w:lang w:val="en-US" w:eastAsia="zh-CN"/>
        </w:rPr>
      </w:pPr>
    </w:p>
    <w:p w14:paraId="6C39B224">
      <w:pPr>
        <w:pStyle w:val="4"/>
        <w:widowControl w:val="0"/>
        <w:numPr>
          <w:ilvl w:val="0"/>
          <w:numId w:val="0"/>
        </w:numPr>
        <w:autoSpaceDE w:val="0"/>
        <w:autoSpaceDN w:val="0"/>
        <w:adjustRightInd w:val="0"/>
        <w:spacing w:line="500" w:lineRule="exact"/>
        <w:ind w:left="240" w:leftChars="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特此公告。</w:t>
      </w:r>
    </w:p>
    <w:p w14:paraId="37733163">
      <w:pPr>
        <w:pStyle w:val="4"/>
        <w:widowControl w:val="0"/>
        <w:numPr>
          <w:ilvl w:val="0"/>
          <w:numId w:val="0"/>
        </w:numPr>
        <w:autoSpaceDE w:val="0"/>
        <w:autoSpaceDN w:val="0"/>
        <w:adjustRightInd w:val="0"/>
        <w:spacing w:line="500" w:lineRule="exact"/>
        <w:ind w:left="240" w:leftChars="0"/>
        <w:rPr>
          <w:rFonts w:hint="default" w:ascii="宋体" w:hAnsi="宋体" w:eastAsia="宋体"/>
          <w:color w:val="auto"/>
          <w:highlight w:val="none"/>
          <w:lang w:val="en-US" w:eastAsia="zh-CN"/>
        </w:rPr>
      </w:pPr>
    </w:p>
    <w:p w14:paraId="0AB4F3D5">
      <w:pPr>
        <w:pStyle w:val="4"/>
        <w:widowControl w:val="0"/>
        <w:numPr>
          <w:ilvl w:val="0"/>
          <w:numId w:val="0"/>
        </w:numPr>
        <w:autoSpaceDE w:val="0"/>
        <w:autoSpaceDN w:val="0"/>
        <w:adjustRightInd w:val="0"/>
        <w:spacing w:line="500" w:lineRule="exact"/>
        <w:ind w:left="240" w:leftChars="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 xml:space="preserve">                    </w:t>
      </w:r>
      <w:r>
        <w:rPr>
          <w:rFonts w:hint="eastAsia" w:ascii="宋体" w:hAnsi="宋体" w:eastAsia="宋体"/>
          <w:color w:val="auto"/>
          <w:highlight w:val="none"/>
          <w:lang w:val="en-US" w:eastAsia="zh-CN"/>
        </w:rPr>
        <w:t xml:space="preserve"> </w:t>
      </w:r>
      <w:r>
        <w:rPr>
          <w:rFonts w:hint="default" w:ascii="宋体" w:hAnsi="宋体" w:eastAsia="宋体"/>
          <w:color w:val="auto"/>
          <w:highlight w:val="none"/>
          <w:lang w:val="en-US" w:eastAsia="zh-CN"/>
        </w:rPr>
        <w:t xml:space="preserve">          山东好当家海洋发展股份有限公司</w:t>
      </w:r>
    </w:p>
    <w:p w14:paraId="0748611B">
      <w:pPr>
        <w:pStyle w:val="4"/>
        <w:widowControl w:val="0"/>
        <w:numPr>
          <w:ilvl w:val="0"/>
          <w:numId w:val="0"/>
        </w:numPr>
        <w:autoSpaceDE w:val="0"/>
        <w:autoSpaceDN w:val="0"/>
        <w:adjustRightInd w:val="0"/>
        <w:spacing w:line="500" w:lineRule="exact"/>
        <w:ind w:left="240" w:leftChars="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 xml:space="preserve">       </w:t>
      </w:r>
      <w:r>
        <w:rPr>
          <w:rFonts w:hint="eastAsia" w:ascii="宋体" w:hAnsi="宋体" w:eastAsia="宋体"/>
          <w:color w:val="auto"/>
          <w:highlight w:val="none"/>
          <w:lang w:val="en-US" w:eastAsia="zh-CN"/>
        </w:rPr>
        <w:t xml:space="preserve">                           </w:t>
      </w:r>
      <w:r>
        <w:rPr>
          <w:rFonts w:hint="default" w:ascii="宋体" w:hAnsi="宋体" w:eastAsia="宋体"/>
          <w:color w:val="auto"/>
          <w:highlight w:val="none"/>
          <w:lang w:val="en-US" w:eastAsia="zh-CN"/>
        </w:rPr>
        <w:t xml:space="preserve">      董事会</w:t>
      </w:r>
    </w:p>
    <w:p w14:paraId="72CEF0E9">
      <w:pPr>
        <w:pStyle w:val="4"/>
        <w:widowControl w:val="0"/>
        <w:numPr>
          <w:ilvl w:val="0"/>
          <w:numId w:val="0"/>
        </w:numPr>
        <w:autoSpaceDE w:val="0"/>
        <w:autoSpaceDN w:val="0"/>
        <w:adjustRightInd w:val="0"/>
        <w:spacing w:line="500" w:lineRule="exact"/>
        <w:ind w:left="240" w:leftChars="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 xml:space="preserve">                      </w:t>
      </w:r>
      <w:r>
        <w:rPr>
          <w:rFonts w:hint="eastAsia" w:ascii="宋体" w:hAnsi="宋体" w:eastAsia="宋体"/>
          <w:color w:val="auto"/>
          <w:highlight w:val="none"/>
          <w:lang w:val="en-US" w:eastAsia="zh-CN"/>
        </w:rPr>
        <w:t xml:space="preserve"> </w:t>
      </w:r>
      <w:r>
        <w:rPr>
          <w:rFonts w:hint="default" w:ascii="宋体" w:hAnsi="宋体" w:eastAsia="宋体"/>
          <w:color w:val="auto"/>
          <w:highlight w:val="none"/>
          <w:lang w:val="en-US" w:eastAsia="zh-CN"/>
        </w:rPr>
        <w:t xml:space="preserve">              2026年1月1</w:t>
      </w:r>
      <w:r>
        <w:rPr>
          <w:rFonts w:hint="eastAsia" w:ascii="宋体" w:hAnsi="宋体" w:eastAsia="宋体"/>
          <w:color w:val="auto"/>
          <w:highlight w:val="none"/>
          <w:lang w:val="en-US" w:eastAsia="zh-CN"/>
        </w:rPr>
        <w:t>5</w:t>
      </w:r>
      <w:r>
        <w:rPr>
          <w:rFonts w:hint="default" w:ascii="宋体" w:hAnsi="宋体" w:eastAsia="宋体"/>
          <w:color w:val="auto"/>
          <w:highlight w:val="none"/>
          <w:lang w:val="en-US" w:eastAsia="zh-CN"/>
        </w:rPr>
        <w:t>日</w:t>
      </w:r>
    </w:p>
    <w:p w14:paraId="1296C690">
      <w:pPr>
        <w:pStyle w:val="4"/>
        <w:widowControl w:val="0"/>
        <w:numPr>
          <w:ilvl w:val="0"/>
          <w:numId w:val="0"/>
        </w:numPr>
        <w:autoSpaceDE w:val="0"/>
        <w:autoSpaceDN w:val="0"/>
        <w:adjustRightInd w:val="0"/>
        <w:spacing w:line="500" w:lineRule="exact"/>
        <w:ind w:left="240" w:leftChars="0"/>
        <w:rPr>
          <w:rFonts w:hint="default" w:ascii="宋体" w:hAnsi="宋体" w:eastAsia="宋体"/>
          <w:color w:val="auto"/>
          <w:highlight w:val="none"/>
          <w:lang w:val="en-US" w:eastAsia="zh-CN"/>
        </w:rPr>
      </w:pPr>
    </w:p>
    <w:p w14:paraId="7A95B251">
      <w:pPr>
        <w:pStyle w:val="4"/>
        <w:widowControl w:val="0"/>
        <w:numPr>
          <w:ilvl w:val="0"/>
          <w:numId w:val="0"/>
        </w:numPr>
        <w:autoSpaceDE w:val="0"/>
        <w:autoSpaceDN w:val="0"/>
        <w:adjustRightInd w:val="0"/>
        <w:spacing w:line="500" w:lineRule="exact"/>
        <w:ind w:firstLine="480" w:firstLineChars="200"/>
        <w:rPr>
          <w:rFonts w:hint="eastAsia" w:ascii="宋体" w:hAnsi="宋体" w:eastAsia="宋体"/>
          <w:color w:val="auto"/>
          <w:highlight w:val="none"/>
        </w:rPr>
      </w:pPr>
    </w:p>
    <w:p w14:paraId="275BE516">
      <w:pPr>
        <w:pStyle w:val="4"/>
        <w:widowControl w:val="0"/>
        <w:numPr>
          <w:ilvl w:val="0"/>
          <w:numId w:val="0"/>
        </w:numPr>
        <w:autoSpaceDE w:val="0"/>
        <w:autoSpaceDN w:val="0"/>
        <w:adjustRightInd w:val="0"/>
        <w:spacing w:line="500" w:lineRule="exact"/>
        <w:ind w:firstLine="480" w:firstLineChars="200"/>
        <w:rPr>
          <w:rFonts w:hint="eastAsia" w:ascii="宋体" w:hAnsi="宋体" w:eastAsia="宋体"/>
          <w:color w:val="auto"/>
          <w:highlight w:val="none"/>
        </w:rPr>
      </w:pPr>
    </w:p>
    <w:p w14:paraId="13223621">
      <w:pPr>
        <w:pStyle w:val="4"/>
        <w:widowControl w:val="0"/>
        <w:numPr>
          <w:ilvl w:val="0"/>
          <w:numId w:val="0"/>
        </w:numPr>
        <w:autoSpaceDE w:val="0"/>
        <w:autoSpaceDN w:val="0"/>
        <w:adjustRightInd w:val="0"/>
        <w:spacing w:line="500" w:lineRule="exact"/>
        <w:ind w:firstLine="480" w:firstLineChars="200"/>
        <w:rPr>
          <w:rFonts w:hint="eastAsia" w:ascii="宋体" w:hAnsi="宋体" w:eastAsia="宋体"/>
          <w:color w:val="auto"/>
          <w:highlight w:val="none"/>
        </w:rPr>
      </w:pPr>
    </w:p>
    <w:p w14:paraId="32042C0F">
      <w:pPr>
        <w:pStyle w:val="4"/>
        <w:widowControl w:val="0"/>
        <w:numPr>
          <w:ilvl w:val="0"/>
          <w:numId w:val="0"/>
        </w:numPr>
        <w:autoSpaceDE w:val="0"/>
        <w:autoSpaceDN w:val="0"/>
        <w:adjustRightInd w:val="0"/>
        <w:spacing w:line="500" w:lineRule="exact"/>
        <w:ind w:firstLine="480" w:firstLineChars="200"/>
        <w:rPr>
          <w:rFonts w:hint="eastAsia" w:ascii="宋体" w:hAnsi="宋体" w:eastAsia="宋体"/>
          <w:color w:val="auto"/>
          <w:highlight w:val="none"/>
        </w:rPr>
      </w:pPr>
    </w:p>
    <w:p w14:paraId="7726513E">
      <w:pPr>
        <w:bidi w:val="0"/>
      </w:pPr>
    </w:p>
    <w:p w14:paraId="79B87A4E">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D1240"/>
    <w:multiLevelType w:val="singleLevel"/>
    <w:tmpl w:val="B67D12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E2C54"/>
    <w:rsid w:val="0A341049"/>
    <w:rsid w:val="1E40590D"/>
    <w:rsid w:val="1FF0619B"/>
    <w:rsid w:val="20397E8F"/>
    <w:rsid w:val="210C7C53"/>
    <w:rsid w:val="234050D6"/>
    <w:rsid w:val="24417C14"/>
    <w:rsid w:val="27903757"/>
    <w:rsid w:val="27EC338E"/>
    <w:rsid w:val="2C6E72B1"/>
    <w:rsid w:val="30B33C47"/>
    <w:rsid w:val="31402B35"/>
    <w:rsid w:val="33477978"/>
    <w:rsid w:val="39C17404"/>
    <w:rsid w:val="40DB658F"/>
    <w:rsid w:val="4D2B4E39"/>
    <w:rsid w:val="4E3F60E7"/>
    <w:rsid w:val="5C0238D8"/>
    <w:rsid w:val="62E95123"/>
    <w:rsid w:val="6CDC6FED"/>
    <w:rsid w:val="71493C14"/>
    <w:rsid w:val="727160AC"/>
    <w:rsid w:val="7A532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新宋体" w:hAnsi="Times New Roman" w:eastAsia="新宋体" w:cs="新宋体"/>
      <w:color w:val="000000"/>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1306</Words>
  <Characters>1579</Characters>
  <Lines>0</Lines>
  <Paragraphs>0</Paragraphs>
  <TotalTime>24</TotalTime>
  <ScaleCrop>false</ScaleCrop>
  <LinksUpToDate>false</LinksUpToDate>
  <CharactersWithSpaces>1704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2025-10-20T00:19:00Z</dcterms:created>
  <dc:creator>m70qd</dc:creator>
  <cp:lastModifiedBy>行者</cp:lastModifiedBy>
  <cp:lastPrinted>2026-01-14T07:32:00Z</cp:lastPrinted>
  <dcterms:modified xsi:type="dcterms:W3CDTF">2026-01-14T08:10:19Z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93840A710C3B485E9ABC1BCBFB7D884C_12</vt:lpwstr>
  </property>
  <property fmtid="{D5CDD505-2E9C-101B-9397-08002B2CF9AE}" pid="4" name="KSOTemplateDocerSaveRecord">
    <vt:lpwstr>eyJoZGlkIjoiNGQ4NDc3Y2I3NjBlYzYyMTdiZTYyZTRlOTI4NjhiZmEiLCJ1c2VySWQiOiIyNjQ5ODE4NDgifQ==</vt:lpwstr>
  </property>
</Properties>
</file>